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宣传部部门预算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宣传部概况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宣传部概况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主要职责（机构职能，可参照三定方案）</w:t>
      </w:r>
    </w:p>
    <w:p>
      <w:pPr>
        <w:spacing w:line="288" w:lineRule="auto"/>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 xml:space="preserve">    </w:t>
      </w:r>
      <w:r>
        <w:rPr>
          <w:rFonts w:hint="eastAsia" w:ascii="仿宋_GB2312" w:eastAsia="仿宋_GB2312"/>
          <w:sz w:val="32"/>
          <w:szCs w:val="32"/>
        </w:rPr>
        <w:t>根据蕉机编[2011]14号文件精神，在切实转变部门职能的基础上，按照相应职能重新整合的原则，中共蕉岭县委宣传部统一设置4个内设机构和县精神文明建设委员会办公室：</w:t>
      </w:r>
    </w:p>
    <w:p>
      <w:pPr>
        <w:spacing w:line="288" w:lineRule="auto"/>
        <w:ind w:firstLine="640" w:firstLineChars="200"/>
        <w:rPr>
          <w:rFonts w:hint="eastAsia" w:ascii="仿宋_GB2312" w:eastAsia="仿宋_GB2312"/>
          <w:sz w:val="32"/>
          <w:szCs w:val="32"/>
        </w:rPr>
      </w:pPr>
      <w:r>
        <w:rPr>
          <w:rFonts w:hint="eastAsia" w:ascii="仿宋_GB2312" w:eastAsia="仿宋_GB2312"/>
          <w:sz w:val="32"/>
          <w:szCs w:val="32"/>
        </w:rPr>
        <w:t>办公室：负责本部工作的综合、协调；负责本部的文秘和机关行政后勤、退休干部管理等工作,</w:t>
      </w:r>
    </w:p>
    <w:p>
      <w:pPr>
        <w:spacing w:line="288" w:lineRule="auto"/>
        <w:ind w:firstLine="640" w:firstLineChars="200"/>
        <w:rPr>
          <w:rFonts w:hint="eastAsia" w:ascii="仿宋_GB2312" w:eastAsia="仿宋_GB2312"/>
          <w:sz w:val="32"/>
          <w:szCs w:val="32"/>
        </w:rPr>
      </w:pPr>
      <w:r>
        <w:rPr>
          <w:rFonts w:hint="eastAsia" w:ascii="仿宋_GB2312" w:eastAsia="仿宋_GB2312"/>
          <w:sz w:val="32"/>
          <w:szCs w:val="32"/>
        </w:rPr>
        <w:t>理论室：负责理论教育、理论研讨、理论宣传和理论队伍建设方面的业务工作；</w:t>
      </w:r>
    </w:p>
    <w:p>
      <w:pPr>
        <w:spacing w:line="288" w:lineRule="auto"/>
        <w:ind w:firstLine="640" w:firstLineChars="200"/>
        <w:rPr>
          <w:rFonts w:hint="eastAsia" w:ascii="仿宋_GB2312" w:eastAsia="仿宋_GB2312"/>
          <w:sz w:val="32"/>
          <w:szCs w:val="32"/>
        </w:rPr>
      </w:pPr>
      <w:r>
        <w:rPr>
          <w:rFonts w:hint="eastAsia" w:ascii="仿宋_GB2312" w:eastAsia="仿宋_GB2312"/>
          <w:sz w:val="32"/>
          <w:szCs w:val="32"/>
        </w:rPr>
        <w:t>宣传文艺室：负责规划和指导全县新闻单位的舆论宣传工作；</w:t>
      </w:r>
    </w:p>
    <w:p>
      <w:pPr>
        <w:spacing w:line="288" w:lineRule="auto"/>
        <w:ind w:firstLine="640" w:firstLineChars="200"/>
        <w:rPr>
          <w:rFonts w:hint="eastAsia" w:ascii="仿宋_GB2312" w:eastAsia="仿宋_GB2312"/>
          <w:sz w:val="32"/>
          <w:szCs w:val="32"/>
        </w:rPr>
      </w:pPr>
      <w:r>
        <w:rPr>
          <w:rFonts w:hint="eastAsia" w:ascii="仿宋_GB2312" w:eastAsia="仿宋_GB2312"/>
          <w:sz w:val="32"/>
          <w:szCs w:val="32"/>
        </w:rPr>
        <w:t>对外宣传室（中共蕉岭县委对外宣传领导小组办公室）：统筹规划全县的对外宣传工作；协调、督促有关部门加强互联网信息内容管理，协调有关部门做好网络文化阵地建设的规划和实施工作。</w:t>
      </w:r>
    </w:p>
    <w:p>
      <w:pPr>
        <w:spacing w:line="288" w:lineRule="auto"/>
        <w:ind w:firstLine="640" w:firstLineChars="200"/>
        <w:rPr>
          <w:rFonts w:hint="eastAsia" w:ascii="仿宋_GB2312" w:eastAsia="仿宋_GB2312"/>
          <w:sz w:val="32"/>
          <w:szCs w:val="32"/>
        </w:rPr>
      </w:pPr>
      <w:r>
        <w:rPr>
          <w:rFonts w:hint="eastAsia" w:ascii="仿宋_GB2312" w:eastAsia="仿宋_GB2312"/>
          <w:sz w:val="32"/>
          <w:szCs w:val="32"/>
        </w:rPr>
        <w:t>县精神文明建设委员会办公室（副科级）：负责拟订全县精神文明建设规划并组织实施；指导、协调和检查督促全县督促全县群众性精神文明创建活动工作的落实；</w:t>
      </w:r>
    </w:p>
    <w:p>
      <w:pPr>
        <w:ind w:firstLine="640"/>
        <w:rPr>
          <w:rFonts w:ascii="仿宋_GB2312" w:hAnsi="仿宋_GB2312" w:eastAsia="仿宋_GB2312" w:cs="仿宋_GB2312"/>
          <w:sz w:val="32"/>
          <w:szCs w:val="32"/>
        </w:rPr>
      </w:pP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288" w:lineRule="auto"/>
        <w:rPr>
          <w:rFonts w:hint="eastAsia" w:eastAsia="仿宋_GB2312"/>
          <w:sz w:val="32"/>
          <w:szCs w:val="32"/>
        </w:rPr>
      </w:pPr>
      <w:r>
        <w:rPr>
          <w:rFonts w:hint="eastAsia" w:ascii="仿宋_GB2312" w:hAnsi="仿宋_GB2312" w:eastAsia="仿宋_GB2312" w:cs="仿宋_GB2312"/>
          <w:sz w:val="32"/>
          <w:szCs w:val="32"/>
        </w:rPr>
        <w:t xml:space="preserve">   本部门</w:t>
      </w:r>
      <w:r>
        <w:rPr>
          <w:rFonts w:eastAsia="仿宋_GB2312"/>
          <w:sz w:val="32"/>
          <w:szCs w:val="32"/>
        </w:rPr>
        <w:t>实有在职人员</w:t>
      </w:r>
      <w:r>
        <w:rPr>
          <w:rFonts w:hint="eastAsia" w:eastAsia="仿宋_GB2312"/>
          <w:sz w:val="32"/>
          <w:szCs w:val="32"/>
          <w:u w:val="single"/>
        </w:rPr>
        <w:t>10</w:t>
      </w:r>
      <w:r>
        <w:rPr>
          <w:rFonts w:eastAsia="仿宋_GB2312"/>
          <w:sz w:val="32"/>
          <w:szCs w:val="32"/>
        </w:rPr>
        <w:t>人，行政离退</w:t>
      </w:r>
      <w:r>
        <w:rPr>
          <w:rFonts w:hint="eastAsia" w:eastAsia="仿宋_GB2312"/>
          <w:sz w:val="32"/>
          <w:szCs w:val="32"/>
          <w:u w:val="single"/>
        </w:rPr>
        <w:t>7</w:t>
      </w:r>
      <w:r>
        <w:rPr>
          <w:rFonts w:eastAsia="仿宋_GB2312"/>
          <w:sz w:val="32"/>
          <w:szCs w:val="32"/>
        </w:rPr>
        <w:t>人 ；</w:t>
      </w:r>
      <w:r>
        <w:rPr>
          <w:rFonts w:hint="eastAsia" w:eastAsia="仿宋_GB2312"/>
          <w:sz w:val="32"/>
          <w:szCs w:val="32"/>
        </w:rPr>
        <w:t>事业</w:t>
      </w:r>
      <w:r>
        <w:rPr>
          <w:rFonts w:eastAsia="仿宋_GB2312"/>
          <w:sz w:val="32"/>
          <w:szCs w:val="32"/>
        </w:rPr>
        <w:t>编制机构有</w:t>
      </w:r>
      <w:r>
        <w:rPr>
          <w:rFonts w:hint="eastAsia" w:eastAsia="仿宋_GB2312"/>
          <w:sz w:val="32"/>
          <w:szCs w:val="32"/>
        </w:rPr>
        <w:t>蕉岭县网络舆情信息中心</w:t>
      </w:r>
      <w:r>
        <w:rPr>
          <w:rFonts w:eastAsia="仿宋_GB2312"/>
          <w:sz w:val="32"/>
          <w:szCs w:val="32"/>
        </w:rPr>
        <w:t>，实有在职人员</w:t>
      </w:r>
      <w:r>
        <w:rPr>
          <w:rFonts w:hint="eastAsia" w:eastAsia="仿宋_GB2312"/>
          <w:sz w:val="32"/>
          <w:szCs w:val="32"/>
          <w:u w:val="single"/>
        </w:rPr>
        <w:t>1</w:t>
      </w:r>
      <w:r>
        <w:rPr>
          <w:rFonts w:eastAsia="仿宋_GB2312"/>
          <w:sz w:val="32"/>
          <w:szCs w:val="32"/>
        </w:rPr>
        <w:t>人，事业离退休</w:t>
      </w:r>
      <w:r>
        <w:rPr>
          <w:rFonts w:hint="eastAsia" w:eastAsia="仿宋_GB2312"/>
          <w:sz w:val="32"/>
          <w:szCs w:val="32"/>
          <w:u w:val="single"/>
        </w:rPr>
        <w:t>0</w:t>
      </w:r>
      <w:r>
        <w:rPr>
          <w:rFonts w:eastAsia="仿宋_GB2312"/>
          <w:sz w:val="32"/>
          <w:szCs w:val="32"/>
        </w:rPr>
        <w:t>人。</w:t>
      </w:r>
    </w:p>
    <w:p>
      <w:pPr>
        <w:ind w:left="640"/>
        <w:rPr>
          <w:rFonts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2016年本部门收入预算189.49万元，比上年增加86.46万元，增长83.92%，主要原因是工资增加、公积金标准提高；支出预算189.49万元，比上年增加86.46万元，增长83.92%，主要原因是工资增加、公积金标准提高。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7.6万元，比上年减少0.1万元，下降1.3%，主要原因是减少公务接待支出。其中：因公出国（境）费0万元，与上年保持不变；公务用车购置及运行费3.9万元，与上年保持不变；公务接待费3.7万元，比上年减少0.1万元，下降2.56%，主要原因是减少公务接待支出。</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9.66万元，比上年增加2.28万元，增长30.89%，主要原因是提高人均公用经费标准。其中：办公费8.04，印刷费0，邮电费0，差旅费0，会议费0，福利费0.18万元，日常维修费0，专用材料及一般设备购置费0，办公用房水电费0办公用房取暖费0，办公用房物业管理费0，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截至2016年1月1日，本部门占有使用国有资产总体情况为：1辆公务用车，分布构成情况为：**，主要实物资产数据情况为：**，资产变动情况为：与上年对比无变动。</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2016年，本部门无预算绩效信息公开的有关工作情况。</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第四部分  名词解释</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 w:hAnsi="仿宋" w:eastAsia="仿宋" w:cs="仿宋_GB2312"/>
          <w:b/>
          <w:kern w:val="0"/>
          <w:sz w:val="32"/>
          <w:szCs w:val="32"/>
        </w:rPr>
        <w:t>一般公共预算拨款收入：</w:t>
      </w:r>
      <w:r>
        <w:rPr>
          <w:rFonts w:hint="eastAsia" w:ascii="仿宋" w:hAnsi="仿宋" w:eastAsia="仿宋" w:cs="仿宋_GB2312"/>
          <w:kern w:val="0"/>
          <w:sz w:val="32"/>
          <w:szCs w:val="32"/>
        </w:rPr>
        <w:t>指县财政当年拨付的资金。</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（二）</w:t>
      </w:r>
      <w:r>
        <w:rPr>
          <w:rFonts w:hint="eastAsia" w:ascii="仿宋" w:hAnsi="仿宋" w:eastAsia="仿宋" w:cs="仿宋_GB2312"/>
          <w:b/>
          <w:kern w:val="0"/>
          <w:sz w:val="32"/>
          <w:szCs w:val="32"/>
        </w:rPr>
        <w:t>社会保障和就业（类）行政事业单位离退休（款）归口管理的行政（事业）单位离退休（项）：</w:t>
      </w:r>
      <w:r>
        <w:rPr>
          <w:rFonts w:hint="eastAsia" w:ascii="仿宋" w:hAnsi="仿宋" w:eastAsia="仿宋" w:cs="仿宋_GB2312"/>
          <w:kern w:val="0"/>
          <w:sz w:val="32"/>
          <w:szCs w:val="32"/>
        </w:rPr>
        <w:t>指离退休人员经费的支出。</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 w:hAnsi="仿宋" w:eastAsia="仿宋" w:cs="仿宋_GB2312"/>
          <w:b/>
          <w:kern w:val="0"/>
          <w:sz w:val="32"/>
          <w:szCs w:val="32"/>
        </w:rPr>
        <w:t>医疗卫生与计划生育支出（类）行政事业单位医疗（款）行政（事业）单位医疗（项）：</w:t>
      </w:r>
      <w:r>
        <w:rPr>
          <w:rFonts w:hint="eastAsia" w:ascii="仿宋" w:hAnsi="仿宋" w:eastAsia="仿宋" w:cs="仿宋_GB2312"/>
          <w:kern w:val="0"/>
          <w:sz w:val="32"/>
          <w:szCs w:val="32"/>
        </w:rPr>
        <w:t>财政部门安集中安排的行政（事业）单位基本医疗保险缴费经费，未参加医疗保险的行政单位的公费医疗经费，按国家规定享受离休人员、红军老战士待遇人员的医疗经费。</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（四）</w:t>
      </w:r>
      <w:r>
        <w:rPr>
          <w:rFonts w:hint="eastAsia" w:ascii="仿宋" w:hAnsi="仿宋" w:eastAsia="仿宋" w:cs="仿宋_GB2312"/>
          <w:b/>
          <w:kern w:val="0"/>
          <w:sz w:val="32"/>
          <w:szCs w:val="32"/>
        </w:rPr>
        <w:t>住房保障（类）住房改革支出（款）住房公积金（项）：</w:t>
      </w:r>
      <w:r>
        <w:rPr>
          <w:rFonts w:hint="eastAsia" w:ascii="仿宋" w:hAnsi="仿宋" w:eastAsia="仿宋" w:cs="仿宋_GB2312"/>
          <w:kern w:val="0"/>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（五）</w:t>
      </w:r>
      <w:r>
        <w:rPr>
          <w:rFonts w:hint="eastAsia" w:ascii="仿宋" w:hAnsi="仿宋" w:eastAsia="仿宋" w:cs="仿宋_GB2312"/>
          <w:b/>
          <w:kern w:val="0"/>
          <w:sz w:val="32"/>
          <w:szCs w:val="32"/>
        </w:rPr>
        <w:t>基本支出：</w:t>
      </w:r>
      <w:r>
        <w:rPr>
          <w:rFonts w:hint="eastAsia" w:ascii="仿宋" w:hAnsi="仿宋" w:eastAsia="仿宋" w:cs="仿宋_GB2312"/>
          <w:kern w:val="0"/>
          <w:sz w:val="32"/>
          <w:szCs w:val="32"/>
        </w:rPr>
        <w:t>指为保障机构正常运转、完成日常工作任务而发生的人员支出和公用支出。</w:t>
      </w:r>
    </w:p>
    <w:p>
      <w:pPr>
        <w:rPr>
          <w:rFonts w:ascii="仿宋" w:hAnsi="仿宋" w:eastAsia="仿宋" w:cs="仿宋_GB2312"/>
          <w:kern w:val="0"/>
          <w:sz w:val="32"/>
          <w:szCs w:val="32"/>
        </w:rPr>
      </w:pPr>
      <w:r>
        <w:rPr>
          <w:rFonts w:hint="eastAsia" w:ascii="仿宋_GB2312" w:hAnsi="仿宋_GB2312" w:eastAsia="仿宋_GB2312" w:cs="仿宋_GB2312"/>
          <w:sz w:val="32"/>
          <w:szCs w:val="32"/>
        </w:rPr>
        <w:t xml:space="preserve">    （六）</w:t>
      </w:r>
      <w:r>
        <w:rPr>
          <w:rFonts w:hint="eastAsia" w:ascii="仿宋" w:hAnsi="仿宋" w:eastAsia="仿宋" w:cs="仿宋_GB2312"/>
          <w:b/>
          <w:kern w:val="0"/>
          <w:sz w:val="32"/>
          <w:szCs w:val="32"/>
        </w:rPr>
        <w:t>项目支出：</w:t>
      </w:r>
      <w:r>
        <w:rPr>
          <w:rFonts w:hint="eastAsia" w:ascii="仿宋" w:hAnsi="仿宋" w:eastAsia="仿宋" w:cs="仿宋_GB2312"/>
          <w:kern w:val="0"/>
          <w:sz w:val="32"/>
          <w:szCs w:val="32"/>
        </w:rPr>
        <w:t>指在基本支出之外为完成特定行政任务和事业发展目标所发生的支出。</w:t>
      </w:r>
    </w:p>
    <w:p>
      <w:pPr>
        <w:autoSpaceDE w:val="0"/>
        <w:autoSpaceDN w:val="0"/>
        <w:adjustRightInd w:val="0"/>
        <w:spacing w:line="520" w:lineRule="exact"/>
        <w:ind w:firstLine="640" w:firstLineChars="200"/>
        <w:rPr>
          <w:rFonts w:ascii="仿宋" w:hAnsi="仿宋" w:eastAsia="仿宋" w:cs="仿宋_GB2312"/>
          <w:kern w:val="0"/>
          <w:sz w:val="32"/>
          <w:szCs w:val="32"/>
        </w:rPr>
      </w:pPr>
      <w:r>
        <w:rPr>
          <w:rFonts w:hint="eastAsia" w:ascii="仿宋_GB2312" w:hAnsi="仿宋_GB2312" w:eastAsia="仿宋_GB2312" w:cs="仿宋_GB2312"/>
          <w:sz w:val="32"/>
          <w:szCs w:val="32"/>
        </w:rPr>
        <w:t>（七）</w:t>
      </w:r>
      <w:r>
        <w:rPr>
          <w:rFonts w:hint="eastAsia" w:ascii="仿宋" w:hAnsi="仿宋" w:eastAsia="仿宋" w:cs="仿宋_GB2312"/>
          <w:b/>
          <w:kern w:val="0"/>
          <w:sz w:val="32"/>
          <w:szCs w:val="32"/>
        </w:rPr>
        <w:t>“三公”经费：</w:t>
      </w:r>
      <w:r>
        <w:rPr>
          <w:rFonts w:hint="eastAsia" w:ascii="仿宋" w:hAnsi="仿宋" w:eastAsia="仿宋" w:cs="仿宋_GB2312"/>
          <w:kern w:val="0"/>
          <w:sz w:val="32"/>
          <w:szCs w:val="32"/>
        </w:rPr>
        <w:t>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r>
        <w:rPr>
          <w:rFonts w:hint="eastAsia" w:ascii="仿宋_GB2312" w:hAnsi="仿宋_GB2312" w:eastAsia="仿宋_GB2312" w:cs="仿宋_GB2312"/>
          <w:sz w:val="32"/>
          <w:szCs w:val="32"/>
        </w:rPr>
        <w:t xml:space="preserve">    （八）</w:t>
      </w:r>
      <w:r>
        <w:rPr>
          <w:rFonts w:hint="eastAsia" w:ascii="仿宋" w:hAnsi="仿宋" w:eastAsia="仿宋" w:cs="仿宋_GB2312"/>
          <w:b/>
          <w:kern w:val="0"/>
          <w:sz w:val="32"/>
          <w:szCs w:val="32"/>
        </w:rPr>
        <w:t>机关运行经费：</w:t>
      </w:r>
      <w:r>
        <w:rPr>
          <w:rFonts w:hint="eastAsia" w:ascii="仿宋" w:hAnsi="仿宋" w:eastAsia="仿宋" w:cs="仿宋_GB2312"/>
          <w:kern w:val="0"/>
          <w:sz w:val="32"/>
          <w:szCs w:val="32"/>
        </w:rPr>
        <w:t>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83202"/>
    <w:rsid w:val="001175E9"/>
    <w:rsid w:val="0030162C"/>
    <w:rsid w:val="004A1C93"/>
    <w:rsid w:val="00744400"/>
    <w:rsid w:val="007B4808"/>
    <w:rsid w:val="00BF2C9A"/>
    <w:rsid w:val="00FA0D10"/>
    <w:rsid w:val="081D07C1"/>
    <w:rsid w:val="26B84FCA"/>
    <w:rsid w:val="2F300128"/>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333</Words>
  <Characters>1903</Characters>
  <Lines>15</Lines>
  <Paragraphs>4</Paragraphs>
  <TotalTime>19</TotalTime>
  <ScaleCrop>false</ScaleCrop>
  <LinksUpToDate>false</LinksUpToDate>
  <CharactersWithSpaces>2232</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2018-05-04T08:41:44Z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