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梅州市住房公积金管理中心蕉岭县经办业务分理处部门预算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ind w:firstLine="640" w:firstLineChars="200"/>
        <w:rPr>
          <w:rFonts w:ascii="黑体" w:hAnsi="黑体" w:eastAsia="黑体" w:cs="黑体"/>
          <w:szCs w:val="32"/>
        </w:rPr>
      </w:pPr>
      <w:r>
        <w:rPr>
          <w:rFonts w:hint="eastAsia" w:ascii="黑体" w:hAnsi="黑体" w:eastAsia="黑体" w:cs="黑体"/>
          <w:szCs w:val="32"/>
        </w:rPr>
        <w:t>第一部分  梅州市住房公积金管理中心蕉岭县经办业务分理处概况</w:t>
      </w:r>
    </w:p>
    <w:p>
      <w:pPr>
        <w:numPr>
          <w:ilvl w:val="0"/>
          <w:numId w:val="1"/>
        </w:numPr>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主要职责</w:t>
      </w:r>
    </w:p>
    <w:p>
      <w:pPr>
        <w:numPr>
          <w:ilvl w:val="0"/>
          <w:numId w:val="1"/>
        </w:numPr>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机构设置</w:t>
      </w:r>
    </w:p>
    <w:p>
      <w:pPr>
        <w:ind w:firstLine="640" w:firstLineChars="200"/>
        <w:rPr>
          <w:rFonts w:ascii="黑体" w:hAnsi="黑体" w:eastAsia="黑体" w:cs="黑体"/>
          <w:szCs w:val="32"/>
        </w:rPr>
      </w:pPr>
      <w:r>
        <w:rPr>
          <w:rFonts w:hint="eastAsia" w:ascii="黑体" w:hAnsi="黑体" w:eastAsia="黑体" w:cs="黑体"/>
          <w:szCs w:val="32"/>
        </w:rPr>
        <w:t>第二部分  2016年部门预算表</w:t>
      </w:r>
    </w:p>
    <w:p>
      <w:pPr>
        <w:numPr>
          <w:ilvl w:val="0"/>
          <w:numId w:val="2"/>
        </w:numPr>
        <w:ind w:firstLine="640"/>
        <w:rPr>
          <w:rFonts w:ascii="仿宋_GB2312" w:hAnsi="仿宋_GB2312" w:eastAsia="仿宋_GB2312" w:cs="仿宋_GB2312"/>
          <w:szCs w:val="32"/>
        </w:rPr>
      </w:pPr>
      <w:r>
        <w:rPr>
          <w:rFonts w:hint="eastAsia" w:ascii="仿宋_GB2312" w:hAnsi="仿宋_GB2312" w:eastAsia="仿宋_GB2312" w:cs="仿宋_GB2312"/>
          <w:szCs w:val="32"/>
        </w:rPr>
        <w:t>收支总体情况表</w:t>
      </w:r>
    </w:p>
    <w:p>
      <w:pPr>
        <w:numPr>
          <w:ilvl w:val="0"/>
          <w:numId w:val="2"/>
        </w:numPr>
        <w:ind w:firstLine="640"/>
        <w:rPr>
          <w:rFonts w:ascii="仿宋_GB2312" w:hAnsi="仿宋_GB2312" w:eastAsia="仿宋_GB2312" w:cs="仿宋_GB2312"/>
          <w:szCs w:val="32"/>
        </w:rPr>
      </w:pPr>
      <w:r>
        <w:rPr>
          <w:rFonts w:hint="eastAsia" w:ascii="仿宋_GB2312" w:hAnsi="仿宋_GB2312" w:eastAsia="仿宋_GB2312" w:cs="仿宋_GB2312"/>
          <w:szCs w:val="32"/>
        </w:rPr>
        <w:t>收入总体情况表</w:t>
      </w:r>
    </w:p>
    <w:p>
      <w:pPr>
        <w:numPr>
          <w:ilvl w:val="0"/>
          <w:numId w:val="2"/>
        </w:numPr>
        <w:ind w:firstLine="640"/>
        <w:rPr>
          <w:rFonts w:ascii="仿宋_GB2312" w:hAnsi="仿宋_GB2312" w:eastAsia="仿宋_GB2312" w:cs="仿宋_GB2312"/>
          <w:szCs w:val="32"/>
        </w:rPr>
      </w:pPr>
      <w:r>
        <w:rPr>
          <w:rFonts w:hint="eastAsia" w:ascii="仿宋_GB2312" w:hAnsi="仿宋_GB2312" w:eastAsia="仿宋_GB2312" w:cs="仿宋_GB2312"/>
          <w:szCs w:val="32"/>
        </w:rPr>
        <w:t>支出总体情况表</w:t>
      </w:r>
    </w:p>
    <w:p>
      <w:pPr>
        <w:numPr>
          <w:ilvl w:val="0"/>
          <w:numId w:val="2"/>
        </w:numPr>
        <w:ind w:firstLine="640"/>
        <w:rPr>
          <w:rFonts w:ascii="仿宋_GB2312" w:hAnsi="仿宋_GB2312" w:eastAsia="仿宋_GB2312" w:cs="仿宋_GB2312"/>
          <w:szCs w:val="32"/>
        </w:rPr>
      </w:pPr>
      <w:r>
        <w:rPr>
          <w:rFonts w:hint="eastAsia" w:ascii="仿宋_GB2312" w:hAnsi="仿宋_GB2312" w:eastAsia="仿宋_GB2312" w:cs="仿宋_GB2312"/>
          <w:szCs w:val="32"/>
        </w:rPr>
        <w:t>财政拨款收支总体情况表</w:t>
      </w:r>
    </w:p>
    <w:p>
      <w:pPr>
        <w:numPr>
          <w:ilvl w:val="0"/>
          <w:numId w:val="2"/>
        </w:numPr>
        <w:ind w:firstLine="640"/>
        <w:rPr>
          <w:rFonts w:ascii="仿宋_GB2312" w:hAnsi="仿宋_GB2312" w:eastAsia="仿宋_GB2312" w:cs="仿宋_GB2312"/>
          <w:szCs w:val="32"/>
        </w:rPr>
      </w:pPr>
      <w:r>
        <w:rPr>
          <w:rFonts w:hint="eastAsia" w:ascii="仿宋_GB2312" w:hAnsi="仿宋_GB2312" w:eastAsia="仿宋_GB2312" w:cs="仿宋_GB2312"/>
          <w:szCs w:val="32"/>
        </w:rPr>
        <w:t>一般公共预算支出情况表（按功能分类科目）</w:t>
      </w:r>
    </w:p>
    <w:p>
      <w:pPr>
        <w:numPr>
          <w:ilvl w:val="0"/>
          <w:numId w:val="2"/>
        </w:numPr>
        <w:ind w:firstLine="640"/>
        <w:rPr>
          <w:rFonts w:ascii="仿宋_GB2312" w:hAnsi="仿宋_GB2312" w:eastAsia="仿宋_GB2312" w:cs="仿宋_GB2312"/>
          <w:szCs w:val="32"/>
        </w:rPr>
      </w:pPr>
      <w:r>
        <w:rPr>
          <w:rFonts w:hint="eastAsia" w:ascii="仿宋_GB2312" w:hAnsi="仿宋_GB2312" w:eastAsia="仿宋_GB2312" w:cs="仿宋_GB2312"/>
          <w:szCs w:val="32"/>
        </w:rPr>
        <w:t>一般公共预算基本支出情况表（按支出经济分类科目）</w:t>
      </w:r>
    </w:p>
    <w:p>
      <w:pPr>
        <w:numPr>
          <w:ilvl w:val="0"/>
          <w:numId w:val="2"/>
        </w:numPr>
        <w:ind w:firstLine="640"/>
        <w:rPr>
          <w:rFonts w:ascii="仿宋_GB2312" w:hAnsi="仿宋_GB2312" w:eastAsia="仿宋_GB2312" w:cs="仿宋_GB2312"/>
          <w:szCs w:val="32"/>
        </w:rPr>
      </w:pPr>
      <w:r>
        <w:rPr>
          <w:rFonts w:hint="eastAsia" w:ascii="仿宋_GB2312" w:hAnsi="仿宋_GB2312" w:eastAsia="仿宋_GB2312" w:cs="仿宋_GB2312"/>
          <w:szCs w:val="32"/>
        </w:rPr>
        <w:t>一般公共预算项目支出情况表（按支出经济分类科目）</w:t>
      </w:r>
    </w:p>
    <w:p>
      <w:pPr>
        <w:numPr>
          <w:ilvl w:val="0"/>
          <w:numId w:val="2"/>
        </w:numPr>
        <w:ind w:firstLine="640"/>
        <w:rPr>
          <w:rFonts w:ascii="仿宋_GB2312" w:hAnsi="仿宋_GB2312" w:eastAsia="仿宋_GB2312" w:cs="仿宋_GB2312"/>
          <w:szCs w:val="32"/>
        </w:rPr>
      </w:pPr>
      <w:r>
        <w:rPr>
          <w:rFonts w:hint="eastAsia" w:ascii="仿宋_GB2312" w:hAnsi="仿宋_GB2312" w:eastAsia="仿宋_GB2312" w:cs="仿宋_GB2312"/>
          <w:szCs w:val="32"/>
        </w:rPr>
        <w:t>一般公共预算安排的行政经费及“三公”经费预算表</w:t>
      </w:r>
    </w:p>
    <w:p>
      <w:pPr>
        <w:numPr>
          <w:ilvl w:val="0"/>
          <w:numId w:val="2"/>
        </w:numPr>
        <w:ind w:firstLine="640"/>
        <w:rPr>
          <w:rFonts w:ascii="仿宋_GB2312" w:hAnsi="仿宋_GB2312" w:eastAsia="仿宋_GB2312" w:cs="仿宋_GB2312"/>
          <w:szCs w:val="32"/>
        </w:rPr>
      </w:pPr>
      <w:r>
        <w:rPr>
          <w:rFonts w:hint="eastAsia" w:ascii="仿宋_GB2312" w:hAnsi="仿宋_GB2312" w:eastAsia="仿宋_GB2312" w:cs="仿宋_GB2312"/>
          <w:szCs w:val="32"/>
        </w:rPr>
        <w:t>政府性基金预算支出情况表</w:t>
      </w:r>
    </w:p>
    <w:p>
      <w:pPr>
        <w:numPr>
          <w:ilvl w:val="0"/>
          <w:numId w:val="2"/>
        </w:numPr>
        <w:ind w:firstLine="640"/>
        <w:rPr>
          <w:rFonts w:ascii="仿宋_GB2312" w:hAnsi="仿宋_GB2312" w:eastAsia="仿宋_GB2312" w:cs="仿宋_GB2312"/>
          <w:szCs w:val="32"/>
        </w:rPr>
      </w:pPr>
      <w:r>
        <w:rPr>
          <w:rFonts w:hint="eastAsia" w:ascii="仿宋_GB2312" w:hAnsi="仿宋_GB2312" w:eastAsia="仿宋_GB2312" w:cs="仿宋_GB2312"/>
          <w:szCs w:val="32"/>
        </w:rPr>
        <w:t>部门预算基本支出预算表</w:t>
      </w:r>
    </w:p>
    <w:p>
      <w:pPr>
        <w:numPr>
          <w:ilvl w:val="0"/>
          <w:numId w:val="2"/>
        </w:numPr>
        <w:ind w:firstLine="640"/>
        <w:rPr>
          <w:rFonts w:ascii="仿宋_GB2312" w:hAnsi="仿宋_GB2312" w:eastAsia="仿宋_GB2312" w:cs="仿宋_GB2312"/>
          <w:szCs w:val="32"/>
        </w:rPr>
      </w:pPr>
      <w:r>
        <w:rPr>
          <w:rFonts w:hint="eastAsia" w:ascii="仿宋_GB2312" w:hAnsi="仿宋_GB2312" w:eastAsia="仿宋_GB2312" w:cs="仿宋_GB2312"/>
          <w:szCs w:val="32"/>
        </w:rPr>
        <w:t>部门预算项目支出及其他支出预算表</w:t>
      </w:r>
    </w:p>
    <w:p>
      <w:pPr>
        <w:ind w:firstLine="640" w:firstLineChars="200"/>
        <w:rPr>
          <w:rFonts w:ascii="黑体" w:hAnsi="黑体" w:eastAsia="黑体" w:cs="黑体"/>
          <w:szCs w:val="32"/>
        </w:rPr>
      </w:pPr>
      <w:r>
        <w:rPr>
          <w:rFonts w:hint="eastAsia" w:ascii="黑体" w:hAnsi="黑体" w:eastAsia="黑体" w:cs="黑体"/>
          <w:szCs w:val="32"/>
        </w:rPr>
        <w:t>第三部分  2016年部门预算情况说明</w:t>
      </w:r>
    </w:p>
    <w:p>
      <w:pPr>
        <w:ind w:firstLine="640" w:firstLineChars="200"/>
        <w:rPr>
          <w:rFonts w:ascii="黑体" w:hAnsi="黑体" w:eastAsia="黑体" w:cs="黑体"/>
          <w:szCs w:val="32"/>
        </w:rPr>
      </w:pPr>
      <w:r>
        <w:rPr>
          <w:rFonts w:hint="eastAsia" w:ascii="黑体" w:hAnsi="黑体" w:eastAsia="黑体" w:cs="黑体"/>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 xml:space="preserve">第一部分  </w:t>
      </w:r>
      <w:r>
        <w:rPr>
          <w:rFonts w:hint="eastAsia" w:ascii="黑体" w:hAnsi="黑体" w:eastAsia="黑体" w:cs="黑体"/>
          <w:sz w:val="44"/>
          <w:szCs w:val="44"/>
        </w:rPr>
        <w:t>梅州市住房公积金管理中心蕉 岭县经办业务分理处概况</w:t>
      </w:r>
    </w:p>
    <w:p>
      <w:pPr>
        <w:rPr>
          <w:rFonts w:ascii="黑体" w:hAnsi="黑体" w:eastAsia="黑体" w:cs="黑体"/>
          <w:sz w:val="44"/>
          <w:szCs w:val="44"/>
        </w:rPr>
      </w:pPr>
    </w:p>
    <w:p>
      <w:pPr>
        <w:numPr>
          <w:ilvl w:val="0"/>
          <w:numId w:val="3"/>
        </w:numPr>
        <w:ind w:firstLine="640"/>
        <w:rPr>
          <w:rFonts w:ascii="黑体" w:hAnsi="黑体" w:eastAsia="黑体" w:cs="黑体"/>
          <w:szCs w:val="32"/>
        </w:rPr>
      </w:pPr>
      <w:r>
        <w:rPr>
          <w:rFonts w:hint="eastAsia" w:ascii="黑体" w:hAnsi="黑体" w:eastAsia="黑体" w:cs="黑体"/>
          <w:szCs w:val="32"/>
        </w:rPr>
        <w:t>主要职责</w:t>
      </w:r>
    </w:p>
    <w:p>
      <w:pPr>
        <w:pStyle w:val="7"/>
        <w:spacing w:line="288" w:lineRule="auto"/>
        <w:ind w:left="420" w:firstLine="640"/>
        <w:rPr>
          <w:rFonts w:ascii="仿宋_GB2312" w:eastAsia="仿宋_GB2312"/>
          <w:szCs w:val="32"/>
        </w:rPr>
      </w:pPr>
      <w:r>
        <w:rPr>
          <w:rFonts w:hint="eastAsia" w:ascii="仿宋_GB2312" w:eastAsia="仿宋_GB2312"/>
          <w:sz w:val="32"/>
          <w:szCs w:val="32"/>
          <w:lang w:eastAsia="zh-CN"/>
        </w:rPr>
        <w:t>本部门无下属单位，部门预算为本级预算。</w:t>
      </w:r>
      <w:r>
        <w:rPr>
          <w:rFonts w:hint="eastAsia" w:ascii="仿宋_GB2312" w:eastAsia="仿宋_GB2312"/>
          <w:szCs w:val="32"/>
        </w:rPr>
        <w:t>梅州市住房公积金管理中心蕉岭县经办业务分理处成立于2006年10月，内设综合股和业务股两个股室，负责全县住房公积金的日常管理运作，包括公积金的归集、放贷及提取业务。</w:t>
      </w:r>
      <w:r>
        <w:rPr>
          <w:rFonts w:hint="eastAsia" w:ascii="黑体" w:hAnsi="黑体" w:eastAsia="黑体" w:cs="黑体"/>
          <w:szCs w:val="32"/>
        </w:rPr>
        <w:t xml:space="preserve">   </w:t>
      </w:r>
    </w:p>
    <w:p>
      <w:pPr>
        <w:pStyle w:val="7"/>
        <w:ind w:left="420" w:firstLine="0" w:firstLineChars="0"/>
        <w:rPr>
          <w:rFonts w:ascii="黑体" w:hAnsi="黑体" w:eastAsia="黑体" w:cs="黑体"/>
          <w:szCs w:val="32"/>
        </w:rPr>
      </w:pPr>
      <w:r>
        <w:rPr>
          <w:rFonts w:hint="eastAsia" w:ascii="黑体" w:hAnsi="黑体" w:eastAsia="黑体" w:cs="黑体"/>
          <w:szCs w:val="32"/>
        </w:rPr>
        <w:t xml:space="preserve"> 二、机构设置</w:t>
      </w:r>
    </w:p>
    <w:p>
      <w:pPr>
        <w:spacing w:line="288" w:lineRule="auto"/>
        <w:ind w:firstLine="640" w:firstLineChars="200"/>
        <w:rPr>
          <w:rFonts w:ascii="仿宋_GB2312" w:eastAsia="仿宋_GB2312"/>
          <w:b/>
          <w:szCs w:val="32"/>
        </w:rPr>
      </w:pPr>
      <w:r>
        <w:rPr>
          <w:rFonts w:hint="eastAsia" w:ascii="仿宋_GB2312" w:eastAsia="仿宋_GB2312"/>
          <w:szCs w:val="32"/>
        </w:rPr>
        <w:t>本单位编制</w:t>
      </w:r>
      <w:r>
        <w:rPr>
          <w:rFonts w:hint="eastAsia" w:ascii="仿宋_GB2312" w:eastAsia="仿宋_GB2312"/>
          <w:szCs w:val="32"/>
          <w:u w:val="single"/>
        </w:rPr>
        <w:t>4</w:t>
      </w:r>
      <w:r>
        <w:rPr>
          <w:rFonts w:hint="eastAsia" w:ascii="仿宋_GB2312" w:eastAsia="仿宋_GB2312"/>
          <w:szCs w:val="32"/>
        </w:rPr>
        <w:t>人，在职</w:t>
      </w:r>
      <w:r>
        <w:rPr>
          <w:rFonts w:hint="eastAsia" w:ascii="仿宋_GB2312" w:eastAsia="仿宋_GB2312"/>
          <w:szCs w:val="32"/>
          <w:u w:val="single"/>
        </w:rPr>
        <w:t>4</w:t>
      </w:r>
      <w:r>
        <w:rPr>
          <w:rFonts w:hint="eastAsia" w:ascii="仿宋_GB2312" w:eastAsia="仿宋_GB2312"/>
          <w:szCs w:val="32"/>
        </w:rPr>
        <w:t>人，退休职工</w:t>
      </w:r>
      <w:r>
        <w:rPr>
          <w:rFonts w:hint="eastAsia" w:ascii="仿宋_GB2312" w:eastAsia="仿宋_GB2312"/>
          <w:szCs w:val="32"/>
          <w:u w:val="single"/>
        </w:rPr>
        <w:t>1</w:t>
      </w:r>
      <w:r>
        <w:rPr>
          <w:rFonts w:hint="eastAsia" w:ascii="仿宋_GB2312" w:eastAsia="仿宋_GB2312"/>
          <w:szCs w:val="32"/>
        </w:rPr>
        <w:t>人，均为财政全额拨款供养人员。本部门没有下属单位</w:t>
      </w:r>
      <w:r>
        <w:rPr>
          <w:rFonts w:hint="eastAsia" w:ascii="仿宋_GB2312" w:eastAsia="仿宋_GB2312"/>
          <w:b/>
          <w:szCs w:val="32"/>
        </w:rPr>
        <w:t>。</w:t>
      </w:r>
    </w:p>
    <w:p>
      <w:pPr>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2016年部门预算情况说明</w:t>
      </w:r>
    </w:p>
    <w:p>
      <w:pPr>
        <w:numPr>
          <w:ilvl w:val="0"/>
          <w:numId w:val="4"/>
        </w:numPr>
        <w:ind w:firstLine="640" w:firstLineChars="200"/>
        <w:rPr>
          <w:rFonts w:ascii="黑体" w:hAnsi="黑体" w:eastAsia="黑体" w:cs="黑体"/>
          <w:szCs w:val="32"/>
        </w:rPr>
      </w:pPr>
      <w:r>
        <w:rPr>
          <w:rFonts w:hint="eastAsia" w:ascii="黑体" w:hAnsi="黑体" w:eastAsia="黑体" w:cs="黑体"/>
          <w:szCs w:val="32"/>
        </w:rPr>
        <w:t>部门预算收支增减变化情况</w:t>
      </w:r>
    </w:p>
    <w:p>
      <w:pPr>
        <w:ind w:firstLine="640"/>
        <w:rPr>
          <w:rFonts w:ascii="黑体" w:hAnsi="黑体" w:eastAsia="黑体" w:cs="黑体"/>
          <w:szCs w:val="32"/>
        </w:rPr>
      </w:pPr>
      <w:r>
        <w:rPr>
          <w:rFonts w:hint="eastAsia" w:ascii="仿宋_GB2312" w:hAnsi="仿宋_GB2312" w:eastAsia="仿宋_GB2312" w:cs="仿宋_GB2312"/>
          <w:szCs w:val="32"/>
        </w:rPr>
        <w:t>2016年本部门收入预算35.84万元，比上年增加11.9万元，增长11.7%，主要原因是</w:t>
      </w:r>
      <w:r>
        <w:rPr>
          <w:rFonts w:hint="eastAsia" w:ascii="仿宋_GB2312" w:eastAsia="仿宋_GB2312"/>
          <w:szCs w:val="32"/>
        </w:rPr>
        <w:t>2016年工资调控，上调工资基数</w:t>
      </w:r>
      <w:r>
        <w:rPr>
          <w:rFonts w:hint="eastAsia" w:ascii="仿宋_GB2312" w:hAnsi="仿宋_GB2312" w:eastAsia="仿宋_GB2312" w:cs="仿宋_GB2312"/>
          <w:szCs w:val="32"/>
        </w:rPr>
        <w:t>；支出预算35.84万元，比上年增加11.9万元，增长11.7%，主要原因是</w:t>
      </w:r>
      <w:r>
        <w:rPr>
          <w:rFonts w:hint="eastAsia" w:ascii="仿宋_GB2312" w:eastAsia="仿宋_GB2312"/>
          <w:szCs w:val="32"/>
        </w:rPr>
        <w:t>2016年工资调控，上调工资基数</w:t>
      </w:r>
      <w:r>
        <w:rPr>
          <w:rFonts w:hint="eastAsia" w:ascii="仿宋_GB2312" w:hAnsi="仿宋_GB2312" w:eastAsia="仿宋_GB2312" w:cs="仿宋_GB2312"/>
          <w:szCs w:val="32"/>
        </w:rPr>
        <w:t>。</w:t>
      </w:r>
    </w:p>
    <w:p>
      <w:pPr>
        <w:numPr>
          <w:ilvl w:val="0"/>
          <w:numId w:val="4"/>
        </w:numPr>
        <w:ind w:firstLine="640" w:firstLineChars="200"/>
        <w:rPr>
          <w:rFonts w:ascii="黑体" w:hAnsi="黑体" w:eastAsia="黑体" w:cs="黑体"/>
          <w:szCs w:val="32"/>
        </w:rPr>
      </w:pPr>
      <w:r>
        <w:rPr>
          <w:rFonts w:hint="eastAsia" w:ascii="黑体" w:hAnsi="黑体" w:eastAsia="黑体" w:cs="黑体"/>
          <w:szCs w:val="32"/>
        </w:rPr>
        <w:t>“三公”经费安排情况说明</w:t>
      </w:r>
    </w:p>
    <w:p>
      <w:pPr>
        <w:ind w:firstLine="640" w:firstLineChars="200"/>
        <w:rPr>
          <w:rFonts w:cs="仿宋_GB2312"/>
        </w:rPr>
      </w:pPr>
      <w:r>
        <w:rPr>
          <w:rFonts w:hint="eastAsia"/>
        </w:rPr>
        <w:t>2016年本部门“三公”经费预算安排1.50万元，比上年减少1.5万元，下降50%，主要原因是精简各项费用。其中：因公出国（境）费0万元，与上年保持不变；公务用车购置及运行费1.50万元，比上年减少1.50万元，下降50%，主要原因是精简支出；公务接待费0万元，比上年减少1万元，下降100%，主要原因是精简支出</w:t>
      </w:r>
      <w:r>
        <w:rPr>
          <w:rFonts w:hint="eastAsia" w:cs="仿宋_GB2312"/>
        </w:rPr>
        <w:t>。</w:t>
      </w:r>
    </w:p>
    <w:p>
      <w:pPr>
        <w:numPr>
          <w:ilvl w:val="0"/>
          <w:numId w:val="4"/>
        </w:numPr>
        <w:ind w:firstLine="640" w:firstLineChars="200"/>
        <w:rPr>
          <w:rFonts w:ascii="黑体" w:hAnsi="黑体" w:eastAsia="黑体" w:cs="黑体"/>
          <w:szCs w:val="32"/>
        </w:rPr>
      </w:pPr>
      <w:r>
        <w:rPr>
          <w:rFonts w:hint="eastAsia" w:ascii="黑体" w:hAnsi="黑体" w:eastAsia="黑体" w:cs="黑体"/>
          <w:szCs w:val="32"/>
        </w:rPr>
        <w:t>机关运行经费安排情况</w:t>
      </w:r>
    </w:p>
    <w:p>
      <w:pPr>
        <w:rPr>
          <w:rFonts w:ascii="仿宋_GB2312" w:hAnsi="仿宋_GB2312" w:eastAsia="仿宋_GB2312" w:cs="仿宋_GB2312"/>
          <w:szCs w:val="32"/>
        </w:rPr>
      </w:pPr>
      <w:r>
        <w:rPr>
          <w:rFonts w:hint="eastAsia" w:ascii="仿宋_GB2312" w:hAnsi="仿宋_GB2312" w:eastAsia="仿宋_GB2312" w:cs="仿宋_GB2312"/>
          <w:szCs w:val="32"/>
        </w:rPr>
        <w:t xml:space="preserve">    </w:t>
      </w:r>
      <w:r>
        <w:rPr>
          <w:rFonts w:hint="eastAsia" w:ascii="仿宋_GB2312" w:hAnsi="宋体" w:eastAsia="仿宋_GB2312"/>
          <w:szCs w:val="32"/>
        </w:rPr>
        <w:t>2016年本部门机关运行经费支出10.12万元，比上年减少21.60万元，降低68.09%。主要原因是：</w:t>
      </w:r>
      <w:r>
        <w:rPr>
          <w:rFonts w:hint="eastAsia" w:ascii="仿宋" w:hAnsi="仿宋"/>
          <w:szCs w:val="32"/>
        </w:rPr>
        <w:t>精简开支</w:t>
      </w:r>
      <w:r>
        <w:rPr>
          <w:rFonts w:hint="eastAsia" w:ascii="仿宋_GB2312" w:hAnsi="宋体" w:eastAsia="仿宋_GB2312"/>
          <w:szCs w:val="32"/>
        </w:rPr>
        <w:t>。</w:t>
      </w:r>
      <w:r>
        <w:rPr>
          <w:rFonts w:hint="eastAsia" w:ascii="仿宋_GB2312" w:hAnsi="仿宋_GB2312" w:eastAsia="仿宋_GB2312" w:cs="仿宋_GB2312"/>
          <w:szCs w:val="32"/>
        </w:rPr>
        <w:t>其中：办公费10.12等。</w:t>
      </w:r>
    </w:p>
    <w:p>
      <w:pPr>
        <w:numPr>
          <w:ilvl w:val="0"/>
          <w:numId w:val="4"/>
        </w:numPr>
        <w:ind w:firstLine="640" w:firstLineChars="200"/>
        <w:rPr>
          <w:rFonts w:ascii="黑体" w:hAnsi="黑体" w:eastAsia="黑体" w:cs="黑体"/>
          <w:szCs w:val="32"/>
        </w:rPr>
      </w:pPr>
      <w:r>
        <w:rPr>
          <w:rFonts w:hint="eastAsia" w:ascii="黑体" w:hAnsi="黑体" w:eastAsia="黑体" w:cs="黑体"/>
          <w:szCs w:val="32"/>
        </w:rPr>
        <w:t>政府采购情况</w:t>
      </w:r>
    </w:p>
    <w:p>
      <w:pPr>
        <w:spacing w:line="288" w:lineRule="auto"/>
        <w:ind w:firstLine="640" w:firstLineChars="200"/>
        <w:rPr>
          <w:rFonts w:ascii="仿宋" w:hAnsi="仿宋"/>
          <w:szCs w:val="32"/>
        </w:rPr>
      </w:pPr>
      <w:r>
        <w:rPr>
          <w:rFonts w:hint="eastAsia" w:ascii="仿宋_GB2312" w:hAnsi="仿宋_GB2312" w:eastAsia="仿宋_GB2312" w:cs="仿宋_GB2312"/>
          <w:szCs w:val="32"/>
        </w:rPr>
        <w:t xml:space="preserve">    </w:t>
      </w:r>
      <w:r>
        <w:rPr>
          <w:rFonts w:hint="eastAsia" w:ascii="仿宋" w:hAnsi="仿宋"/>
          <w:szCs w:val="32"/>
        </w:rPr>
        <w:t>2016年，本部门政府采购支出总额9.92万元，其中：政府采购货物支出9.92万元，占政府采购支出总额的100%。</w:t>
      </w:r>
    </w:p>
    <w:p>
      <w:pPr>
        <w:numPr>
          <w:ilvl w:val="0"/>
          <w:numId w:val="4"/>
        </w:numPr>
        <w:ind w:firstLine="640" w:firstLineChars="200"/>
        <w:rPr>
          <w:rFonts w:ascii="黑体" w:hAnsi="黑体" w:eastAsia="黑体" w:cs="黑体"/>
          <w:szCs w:val="32"/>
        </w:rPr>
      </w:pPr>
      <w:r>
        <w:rPr>
          <w:rFonts w:hint="eastAsia" w:ascii="黑体" w:hAnsi="黑体" w:eastAsia="黑体" w:cs="黑体"/>
          <w:szCs w:val="32"/>
        </w:rPr>
        <w:t>国有资产占有使用情况</w:t>
      </w:r>
    </w:p>
    <w:p>
      <w:pPr>
        <w:pStyle w:val="7"/>
        <w:spacing w:line="580" w:lineRule="exact"/>
        <w:ind w:left="420" w:firstLine="640"/>
        <w:rPr>
          <w:rFonts w:ascii="仿宋_GB2312" w:hAnsi="宋体" w:eastAsia="仿宋_GB2312" w:cs="宋体"/>
          <w:b/>
          <w:kern w:val="0"/>
          <w:szCs w:val="32"/>
        </w:rPr>
      </w:pPr>
      <w:r>
        <w:rPr>
          <w:rFonts w:hint="eastAsia" w:ascii="仿宋_GB2312" w:eastAsia="仿宋_GB2312"/>
          <w:szCs w:val="32"/>
        </w:rPr>
        <w:t>截至2016年12月31日，</w:t>
      </w:r>
      <w:r>
        <w:rPr>
          <w:rFonts w:hint="eastAsia" w:ascii="仿宋_GB2312" w:hAnsi="仿宋_GB2312" w:eastAsia="仿宋_GB2312" w:cs="仿宋_GB2312"/>
          <w:szCs w:val="32"/>
        </w:rPr>
        <w:t>本部门占有使用国有资产总体情况为：一般公务用车1辆，分布构成情况为：单位日常公务用车1辆，主要实物资产数据情况为：一般公务用车1辆，资产变动情况为：无。</w:t>
      </w:r>
    </w:p>
    <w:p>
      <w:pPr>
        <w:numPr>
          <w:ilvl w:val="0"/>
          <w:numId w:val="4"/>
        </w:numPr>
        <w:ind w:firstLine="640" w:firstLineChars="200"/>
        <w:rPr>
          <w:rFonts w:ascii="黑体" w:hAnsi="黑体" w:eastAsia="黑体" w:cs="黑体"/>
          <w:szCs w:val="32"/>
        </w:rPr>
      </w:pPr>
      <w:r>
        <w:rPr>
          <w:rFonts w:hint="eastAsia" w:ascii="黑体" w:hAnsi="黑体" w:eastAsia="黑体" w:cs="黑体"/>
          <w:szCs w:val="32"/>
        </w:rPr>
        <w:t>预算绩效信息公开情况</w:t>
      </w:r>
    </w:p>
    <w:p>
      <w:pPr>
        <w:ind w:firstLine="640" w:firstLineChars="200"/>
        <w:rPr>
          <w:rFonts w:hint="eastAsia"/>
        </w:rPr>
      </w:pPr>
      <w:r>
        <w:rPr>
          <w:rFonts w:hint="eastAsia"/>
        </w:rPr>
        <w:t>归集、提取：2016年全市住房公积金归集23.44亿元，比去年同期增长23.18% ；累计归集总额131.75亿元， 归集余额59.61 亿元，全市缴存覆盖率为76%。 2016年全市住房公积金提取15.46亿元，当年提取率为65.96%；累计提取72.14亿元。</w:t>
      </w:r>
    </w:p>
    <w:p>
      <w:pPr>
        <w:ind w:firstLine="640" w:firstLineChars="200"/>
        <w:rPr>
          <w:rFonts w:hint="eastAsia"/>
        </w:rPr>
      </w:pPr>
      <w:r>
        <w:rPr>
          <w:rFonts w:hint="eastAsia"/>
        </w:rPr>
        <w:t>贷款：2016年全市发放个人住房抵押贷款14.75亿元；累计发放个人住房抵押贷款83.06亿元，个贷余额54.25亿元；全年新增贷款5530户，累计发放贷款45618户；全市个贷率为91.01%；个贷逾期率为0.01‰。2016年全市发放“公转商”贴息贷款8.67亿元，发放户数2929户。</w:t>
      </w:r>
    </w:p>
    <w:p>
      <w:pPr>
        <w:ind w:firstLine="640" w:firstLineChars="200"/>
        <w:rPr>
          <w:rFonts w:hint="eastAsia"/>
        </w:rPr>
      </w:pPr>
      <w:r>
        <w:rPr>
          <w:rFonts w:hint="eastAsia"/>
        </w:rPr>
        <w:t>2016年全市实现可分配增值收益6935万元，计提住房公积金贷款风险准备金2107万元，贷款风险准备金年末余额为9339万元，上缴建设城市廉租住房补充资金3416万元，累计上缴建设城市廉租住房补充资金27055万元。</w:t>
      </w:r>
    </w:p>
    <w:p>
      <w:pPr>
        <w:ind w:left="640"/>
        <w:rPr>
          <w:rFonts w:ascii="黑体" w:hAnsi="黑体" w:eastAsia="黑体" w:cs="黑体"/>
          <w:szCs w:val="32"/>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第四部分  名词解释</w:t>
      </w:r>
    </w:p>
    <w:p>
      <w:pPr>
        <w:numPr>
          <w:ilvl w:val="0"/>
          <w:numId w:val="5"/>
        </w:numPr>
        <w:spacing w:line="288" w:lineRule="auto"/>
        <w:ind w:firstLine="630" w:firstLineChars="196"/>
        <w:rPr>
          <w:rFonts w:ascii="仿宋_GB2312" w:eastAsia="仿宋_GB2312"/>
          <w:szCs w:val="32"/>
        </w:rPr>
      </w:pPr>
      <w:bookmarkStart w:id="0" w:name="_GoBack"/>
      <w:bookmarkEnd w:id="0"/>
      <w:r>
        <w:rPr>
          <w:rFonts w:hint="eastAsia" w:ascii="仿宋_GB2312" w:eastAsia="仿宋_GB2312"/>
          <w:b/>
          <w:szCs w:val="32"/>
        </w:rPr>
        <w:t>财政拨款收入：</w:t>
      </w:r>
      <w:r>
        <w:rPr>
          <w:rFonts w:hint="eastAsia" w:ascii="仿宋_GB2312" w:eastAsia="仿宋_GB2312"/>
          <w:szCs w:val="32"/>
        </w:rPr>
        <w:t>指财政当年拨付的资金事业收入。</w:t>
      </w:r>
    </w:p>
    <w:p>
      <w:pPr>
        <w:spacing w:line="288" w:lineRule="auto"/>
        <w:ind w:left="1" w:firstLine="630" w:firstLineChars="196"/>
        <w:rPr>
          <w:rFonts w:ascii="仿宋_GB2312" w:eastAsia="仿宋_GB2312"/>
          <w:szCs w:val="32"/>
        </w:rPr>
      </w:pPr>
      <w:r>
        <w:rPr>
          <w:rFonts w:hint="eastAsia" w:ascii="仿宋_GB2312" w:eastAsia="仿宋_GB2312"/>
          <w:b/>
          <w:szCs w:val="32"/>
        </w:rPr>
        <w:t>二、事业收入：</w:t>
      </w:r>
      <w:r>
        <w:rPr>
          <w:rFonts w:hint="eastAsia" w:ascii="仿宋_GB2312" w:eastAsia="仿宋_GB2312"/>
          <w:szCs w:val="32"/>
        </w:rPr>
        <w:t>指事业单位开展专业业务活动及辅动所取得的收入。</w:t>
      </w:r>
    </w:p>
    <w:p>
      <w:pPr>
        <w:spacing w:line="288" w:lineRule="auto"/>
        <w:ind w:left="1" w:firstLine="630" w:firstLineChars="196"/>
        <w:rPr>
          <w:rFonts w:ascii="仿宋_GB2312" w:eastAsia="仿宋_GB2312"/>
          <w:szCs w:val="32"/>
        </w:rPr>
      </w:pPr>
      <w:r>
        <w:rPr>
          <w:rFonts w:hint="eastAsia" w:ascii="仿宋_GB2312" w:eastAsia="仿宋_GB2312"/>
          <w:b/>
          <w:szCs w:val="32"/>
        </w:rPr>
        <w:t>三、经营收入：</w:t>
      </w:r>
      <w:r>
        <w:rPr>
          <w:rFonts w:hint="eastAsia" w:ascii="仿宋_GB2312" w:eastAsia="仿宋_GB2312"/>
          <w:szCs w:val="32"/>
        </w:rPr>
        <w:t>指事业单位在专业业务活动及其辅助活动之外开展非独立核算经营活动取得的收入。</w:t>
      </w:r>
    </w:p>
    <w:p>
      <w:pPr>
        <w:spacing w:line="288" w:lineRule="auto"/>
        <w:ind w:left="1" w:firstLine="630" w:firstLineChars="196"/>
        <w:rPr>
          <w:rFonts w:ascii="仿宋_GB2312" w:eastAsia="仿宋_GB2312"/>
          <w:szCs w:val="32"/>
        </w:rPr>
      </w:pPr>
      <w:r>
        <w:rPr>
          <w:rFonts w:hint="eastAsia" w:ascii="仿宋_GB2312" w:eastAsia="仿宋_GB2312"/>
          <w:b/>
          <w:szCs w:val="32"/>
        </w:rPr>
        <w:t>四、其他收入：</w:t>
      </w:r>
      <w:r>
        <w:rPr>
          <w:rFonts w:hint="eastAsia" w:ascii="仿宋_GB2312" w:eastAsia="仿宋_GB2312"/>
          <w:szCs w:val="32"/>
        </w:rPr>
        <w:t>指除上述“财政拨款收入”、“事业收入”、“经营收入”等以外的收入。主要是非本级财政拨款、存款利息收入、事业单位固定资产出租收入等。</w:t>
      </w:r>
    </w:p>
    <w:p>
      <w:pPr>
        <w:spacing w:line="288" w:lineRule="auto"/>
        <w:ind w:left="1" w:firstLine="630" w:firstLineChars="196"/>
        <w:rPr>
          <w:rFonts w:ascii="仿宋_GB2312" w:eastAsia="仿宋_GB2312"/>
          <w:szCs w:val="32"/>
        </w:rPr>
      </w:pPr>
      <w:r>
        <w:rPr>
          <w:rFonts w:hint="eastAsia" w:ascii="仿宋_GB2312" w:eastAsia="仿宋_GB2312"/>
          <w:b/>
          <w:szCs w:val="32"/>
        </w:rPr>
        <w:t>五、用事业基金弥补收支差额：</w:t>
      </w:r>
      <w:r>
        <w:rPr>
          <w:rFonts w:hint="eastAsia" w:ascii="仿宋_GB2312" w:eastAsia="仿宋_GB2312"/>
          <w:szCs w:val="32"/>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630" w:firstLineChars="196"/>
        <w:rPr>
          <w:rFonts w:ascii="仿宋_GB2312" w:eastAsia="仿宋_GB2312"/>
          <w:szCs w:val="32"/>
        </w:rPr>
      </w:pPr>
      <w:r>
        <w:rPr>
          <w:rFonts w:hint="eastAsia" w:ascii="仿宋_GB2312" w:eastAsia="仿宋_GB2312"/>
          <w:b/>
          <w:szCs w:val="32"/>
        </w:rPr>
        <w:t>六、年初结转和结余：</w:t>
      </w:r>
      <w:r>
        <w:rPr>
          <w:rFonts w:hint="eastAsia" w:ascii="仿宋_GB2312" w:eastAsia="仿宋_GB2312"/>
          <w:szCs w:val="32"/>
        </w:rPr>
        <w:t>指以前年度尚未完成、结转到本年按有关规定继续使用的资金。</w:t>
      </w:r>
    </w:p>
    <w:p>
      <w:pPr>
        <w:spacing w:line="288" w:lineRule="auto"/>
        <w:ind w:left="1" w:firstLine="630" w:firstLineChars="196"/>
        <w:rPr>
          <w:rFonts w:ascii="仿宋_GB2312" w:eastAsia="仿宋_GB2312"/>
          <w:szCs w:val="32"/>
        </w:rPr>
      </w:pPr>
      <w:r>
        <w:rPr>
          <w:rFonts w:hint="eastAsia" w:ascii="仿宋_GB2312" w:eastAsia="仿宋_GB2312"/>
          <w:b/>
          <w:szCs w:val="32"/>
        </w:rPr>
        <w:t>七、结余分配：</w:t>
      </w:r>
      <w:r>
        <w:rPr>
          <w:rFonts w:hint="eastAsia" w:ascii="仿宋_GB2312" w:eastAsia="仿宋_GB2312"/>
          <w:szCs w:val="32"/>
        </w:rPr>
        <w:t>指事业事位按规定提取的职工福利基金、事业基金和缴纳的所得税，以及建设单位按规定应交回的基本建设竣工项目结余资金。</w:t>
      </w:r>
    </w:p>
    <w:p>
      <w:pPr>
        <w:spacing w:line="288" w:lineRule="auto"/>
        <w:ind w:left="1" w:firstLine="630" w:firstLineChars="196"/>
        <w:rPr>
          <w:rFonts w:ascii="仿宋_GB2312" w:eastAsia="仿宋_GB2312"/>
          <w:szCs w:val="32"/>
        </w:rPr>
      </w:pPr>
      <w:r>
        <w:rPr>
          <w:rFonts w:hint="eastAsia" w:ascii="仿宋_GB2312" w:eastAsia="仿宋_GB2312"/>
          <w:b/>
          <w:szCs w:val="32"/>
        </w:rPr>
        <w:t>八、年末结转和结余：</w:t>
      </w:r>
      <w:r>
        <w:rPr>
          <w:rFonts w:hint="eastAsia" w:ascii="仿宋_GB2312" w:eastAsia="仿宋_GB2312"/>
          <w:szCs w:val="32"/>
        </w:rPr>
        <w:t>指本年度或以前年度预算安排、因客观条件发生变化无法按原计划实施，需要延迟到以后年度按有关规定继续使用的资金。</w:t>
      </w:r>
    </w:p>
    <w:p>
      <w:pPr>
        <w:spacing w:line="288" w:lineRule="auto"/>
        <w:ind w:left="1" w:firstLine="630" w:firstLineChars="196"/>
        <w:rPr>
          <w:rFonts w:ascii="仿宋_GB2312" w:eastAsia="仿宋_GB2312"/>
          <w:szCs w:val="32"/>
        </w:rPr>
      </w:pPr>
      <w:r>
        <w:rPr>
          <w:rFonts w:hint="eastAsia" w:ascii="仿宋_GB2312" w:eastAsia="仿宋_GB2312"/>
          <w:b/>
          <w:szCs w:val="32"/>
        </w:rPr>
        <w:t>九、基本支出：</w:t>
      </w:r>
      <w:r>
        <w:rPr>
          <w:rFonts w:hint="eastAsia" w:ascii="仿宋_GB2312" w:eastAsia="仿宋_GB2312"/>
          <w:szCs w:val="32"/>
        </w:rPr>
        <w:t>指为保障机构正常运转、完成日常工作任务面发生的人员支出和公用支出。</w:t>
      </w:r>
    </w:p>
    <w:p>
      <w:pPr>
        <w:spacing w:line="288" w:lineRule="auto"/>
        <w:ind w:left="1" w:firstLine="630" w:firstLineChars="196"/>
        <w:rPr>
          <w:rFonts w:ascii="仿宋_GB2312" w:eastAsia="仿宋_GB2312"/>
          <w:szCs w:val="32"/>
        </w:rPr>
      </w:pPr>
      <w:r>
        <w:rPr>
          <w:rFonts w:hint="eastAsia" w:ascii="仿宋_GB2312" w:eastAsia="仿宋_GB2312"/>
          <w:b/>
          <w:szCs w:val="32"/>
        </w:rPr>
        <w:t>十、项目支出：</w:t>
      </w:r>
      <w:r>
        <w:rPr>
          <w:rFonts w:hint="eastAsia" w:ascii="仿宋_GB2312" w:eastAsia="仿宋_GB2312"/>
          <w:szCs w:val="32"/>
        </w:rPr>
        <w:t>指在基本支出这外为完成特定行政任务和事业发展目标所发生的支出。</w:t>
      </w:r>
    </w:p>
    <w:p>
      <w:pPr>
        <w:spacing w:line="288" w:lineRule="auto"/>
        <w:ind w:left="1" w:firstLine="630" w:firstLineChars="196"/>
        <w:rPr>
          <w:rFonts w:ascii="仿宋_GB2312" w:eastAsia="仿宋_GB2312"/>
          <w:szCs w:val="32"/>
        </w:rPr>
      </w:pPr>
      <w:r>
        <w:rPr>
          <w:rFonts w:hint="eastAsia" w:ascii="仿宋_GB2312" w:eastAsia="仿宋_GB2312"/>
          <w:b/>
          <w:szCs w:val="32"/>
        </w:rPr>
        <w:t>十一、经营支出：</w:t>
      </w:r>
      <w:r>
        <w:rPr>
          <w:rFonts w:hint="eastAsia" w:ascii="仿宋_GB2312" w:eastAsia="仿宋_GB2312"/>
          <w:szCs w:val="32"/>
        </w:rPr>
        <w:t>指事业单位在专业业务活动及其辅助活动之外开展非独立核算经营活动所发生的支出。</w:t>
      </w:r>
    </w:p>
    <w:p>
      <w:pPr>
        <w:spacing w:line="288" w:lineRule="auto"/>
        <w:ind w:left="1" w:firstLine="630" w:firstLineChars="196"/>
        <w:rPr>
          <w:rFonts w:ascii="仿宋_GB2312" w:hAnsi="宋体" w:eastAsia="仿宋_GB2312" w:cs="宋体"/>
          <w:kern w:val="0"/>
          <w:szCs w:val="32"/>
        </w:rPr>
      </w:pPr>
      <w:r>
        <w:rPr>
          <w:rFonts w:hint="eastAsia" w:ascii="仿宋_GB2312" w:eastAsia="仿宋_GB2312"/>
          <w:b/>
          <w:szCs w:val="32"/>
        </w:rPr>
        <w:t>十二、“三公”经费：</w:t>
      </w:r>
      <w:r>
        <w:rPr>
          <w:rFonts w:hint="eastAsia" w:ascii="仿宋_GB2312" w:hAnsi="宋体" w:eastAsia="仿宋_GB2312" w:cs="宋体"/>
          <w:kern w:val="0"/>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288" w:lineRule="auto"/>
        <w:ind w:left="1" w:firstLine="630" w:firstLineChars="196"/>
        <w:rPr>
          <w:rFonts w:ascii="仿宋_GB2312" w:eastAsia="仿宋_GB2312"/>
          <w:szCs w:val="32"/>
        </w:rPr>
      </w:pPr>
      <w:r>
        <w:rPr>
          <w:rFonts w:hint="eastAsia" w:ascii="仿宋_GB2312" w:eastAsia="仿宋_GB2312"/>
          <w:b/>
          <w:szCs w:val="32"/>
        </w:rPr>
        <w:t>十三、机关运行经费：</w:t>
      </w:r>
      <w:r>
        <w:rPr>
          <w:rFonts w:hint="eastAsia" w:ascii="仿宋_GB2312" w:eastAsia="仿宋_GB231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5F50C1"/>
    <w:multiLevelType w:val="singleLevel"/>
    <w:tmpl w:val="5A5F50C1"/>
    <w:lvl w:ilvl="0" w:tentative="0">
      <w:start w:val="1"/>
      <w:numFmt w:val="chineseCounting"/>
      <w:suff w:val="nothing"/>
      <w:lvlText w:val="%1、"/>
      <w:lvlJc w:val="left"/>
    </w:lvl>
  </w:abstractNum>
  <w:abstractNum w:abstractNumId="4">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D07C1"/>
    <w:rsid w:val="000108D6"/>
    <w:rsid w:val="00016F89"/>
    <w:rsid w:val="00074524"/>
    <w:rsid w:val="00267E8C"/>
    <w:rsid w:val="003A0DD2"/>
    <w:rsid w:val="00431DED"/>
    <w:rsid w:val="005157CB"/>
    <w:rsid w:val="006B726F"/>
    <w:rsid w:val="0097203A"/>
    <w:rsid w:val="00996D71"/>
    <w:rsid w:val="009F4929"/>
    <w:rsid w:val="00A66334"/>
    <w:rsid w:val="00EF55E2"/>
    <w:rsid w:val="00FC7204"/>
    <w:rsid w:val="081D07C1"/>
    <w:rsid w:val="176F28CB"/>
    <w:rsid w:val="2F300128"/>
    <w:rsid w:val="658E0CA7"/>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asciiTheme="minorHAnsi" w:hAnsiTheme="minorHAnsi" w:cstheme="minorBidi"/>
      <w:kern w:val="2"/>
      <w:sz w:val="32"/>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unhideWhenUsed/>
    <w:uiPriority w:val="99"/>
    <w:pPr>
      <w:ind w:firstLine="420" w:firstLineChars="200"/>
    </w:pPr>
  </w:style>
  <w:style w:type="character" w:customStyle="1" w:styleId="8">
    <w:name w:val="页眉 Char"/>
    <w:basedOn w:val="5"/>
    <w:link w:val="4"/>
    <w:qFormat/>
    <w:uiPriority w:val="0"/>
    <w:rPr>
      <w:kern w:val="2"/>
      <w:sz w:val="18"/>
      <w:szCs w:val="18"/>
    </w:rPr>
  </w:style>
  <w:style w:type="character" w:customStyle="1" w:styleId="9">
    <w:name w:val="页脚 Char"/>
    <w:basedOn w:val="5"/>
    <w:link w:val="3"/>
    <w:qFormat/>
    <w:uiPriority w:val="0"/>
    <w:rPr>
      <w:kern w:val="2"/>
      <w:sz w:val="18"/>
      <w:szCs w:val="18"/>
    </w:rPr>
  </w:style>
  <w:style w:type="character" w:customStyle="1" w:styleId="10">
    <w:name w:val="批注框文本 Char"/>
    <w:basedOn w:val="5"/>
    <w:link w:val="2"/>
    <w:uiPriority w:val="0"/>
    <w:rPr>
      <w:rFonts w:eastAsia="仿宋"/>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Chinese ORG</Company>
  <Pages>8</Pages>
  <Words>380</Words>
  <Characters>2172</Characters>
  <Lines>18</Lines>
  <Paragraphs>5</Paragraphs>
  <TotalTime>0</TotalTime>
  <ScaleCrop>false</ScaleCrop>
  <LinksUpToDate>false</LinksUpToDate>
  <CharactersWithSpaces>2547</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cp:lastPrinted>2018-04-19T07:23:00Z</cp:lastPrinted>
  <dcterms:modified xsi:type="dcterms:W3CDTF">2018-05-23T10:41:18Z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