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cs="方正小标宋简体" w:asciiTheme="majorEastAsia" w:hAnsiTheme="majorEastAsia" w:eastAsiaTheme="majorEastAsia"/>
          <w:sz w:val="84"/>
          <w:szCs w:val="84"/>
        </w:rPr>
      </w:pPr>
    </w:p>
    <w:p>
      <w:pPr>
        <w:jc w:val="center"/>
        <w:rPr>
          <w:rFonts w:cs="方正小标宋简体" w:asciiTheme="majorEastAsia" w:hAnsiTheme="majorEastAsia" w:eastAsiaTheme="majorEastAsia"/>
          <w:sz w:val="84"/>
          <w:szCs w:val="84"/>
        </w:rPr>
      </w:pPr>
      <w:r>
        <w:rPr>
          <w:rFonts w:hint="eastAsia" w:cs="方正小标宋简体" w:asciiTheme="majorEastAsia" w:hAnsiTheme="majorEastAsia" w:eastAsiaTheme="majorEastAsia"/>
          <w:sz w:val="84"/>
          <w:szCs w:val="84"/>
        </w:rPr>
        <w:t>2016年</w:t>
      </w:r>
    </w:p>
    <w:p>
      <w:pPr>
        <w:jc w:val="center"/>
        <w:rPr>
          <w:rFonts w:cs="方正小标宋简体" w:asciiTheme="majorEastAsia" w:hAnsiTheme="majorEastAsia" w:eastAsiaTheme="majorEastAsia"/>
          <w:sz w:val="84"/>
          <w:szCs w:val="84"/>
        </w:rPr>
      </w:pPr>
      <w:r>
        <w:rPr>
          <w:rFonts w:hint="eastAsia" w:cs="方正小标宋简体" w:asciiTheme="majorEastAsia" w:hAnsiTheme="majorEastAsia" w:eastAsiaTheme="majorEastAsia"/>
          <w:sz w:val="84"/>
          <w:szCs w:val="84"/>
        </w:rPr>
        <w:t>蕉岭县职业技术学校部门预算</w:t>
      </w:r>
    </w:p>
    <w:p>
      <w:pPr>
        <w:jc w:val="center"/>
        <w:rPr>
          <w:rFonts w:cs="方正小标宋简体" w:asciiTheme="majorEastAsia" w:hAnsiTheme="majorEastAsia" w:eastAsiaTheme="majorEastAsia"/>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cs="方正小标宋简体" w:asciiTheme="majorEastAsia" w:hAnsiTheme="majorEastAsia" w:eastAsiaTheme="majorEastAsia"/>
          <w:sz w:val="44"/>
          <w:szCs w:val="44"/>
        </w:rPr>
      </w:pPr>
      <w:r>
        <w:rPr>
          <w:rFonts w:hint="eastAsia" w:cs="方正小标宋简体" w:asciiTheme="majorEastAsia" w:hAnsiTheme="majorEastAsia" w:eastAsiaTheme="majorEastAsia"/>
          <w:sz w:val="44"/>
          <w:szCs w:val="44"/>
        </w:rPr>
        <w:t>目 录</w:t>
      </w:r>
    </w:p>
    <w:p>
      <w:pPr>
        <w:ind w:firstLine="640" w:firstLineChars="200"/>
        <w:rPr>
          <w:rFonts w:ascii="黑体" w:hAnsi="黑体" w:eastAsia="黑体" w:cs="黑体"/>
          <w:sz w:val="32"/>
          <w:szCs w:val="32"/>
        </w:rPr>
      </w:pPr>
      <w:r>
        <w:rPr>
          <w:rFonts w:hint="eastAsia" w:ascii="黑体" w:hAnsi="黑体" w:eastAsia="黑体" w:cs="黑体"/>
          <w:sz w:val="32"/>
          <w:szCs w:val="32"/>
        </w:rPr>
        <w:t>第一部分 蕉岭县职业技术学校概况</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主要职责</w:t>
      </w:r>
    </w:p>
    <w:p>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机构设置</w:t>
      </w:r>
    </w:p>
    <w:p>
      <w:pPr>
        <w:ind w:firstLine="640" w:firstLineChars="200"/>
        <w:rPr>
          <w:rFonts w:ascii="黑体" w:hAnsi="黑体" w:eastAsia="黑体" w:cs="黑体"/>
          <w:sz w:val="32"/>
          <w:szCs w:val="32"/>
        </w:rPr>
      </w:pPr>
      <w:r>
        <w:rPr>
          <w:rFonts w:hint="eastAsia" w:ascii="黑体" w:hAnsi="黑体" w:eastAsia="黑体" w:cs="黑体"/>
          <w:sz w:val="32"/>
          <w:szCs w:val="32"/>
        </w:rPr>
        <w:t>第二部分蕉岭县职业技术学校2016年部门预算表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收入总体情况表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支出总体情况表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财政拨款收支总体情况表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一般公共预算支出情况表（按功能分类科目）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一般公共预算项目支出情况表（按支出经济分类科目）</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一般公共预算安排的行政经费及“三公”经费预算表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政府性基金预算支出情况表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部门预算基本支出预算表</w:t>
      </w:r>
    </w:p>
    <w:p>
      <w:pPr>
        <w:numPr>
          <w:ilvl w:val="0"/>
          <w:numId w:val="2"/>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部门预算项目支出及其他支出预算表</w:t>
      </w:r>
    </w:p>
    <w:p>
      <w:pPr>
        <w:ind w:firstLine="640" w:firstLineChars="200"/>
        <w:rPr>
          <w:rFonts w:ascii="黑体" w:hAnsi="黑体" w:eastAsia="黑体" w:cs="黑体"/>
          <w:sz w:val="32"/>
          <w:szCs w:val="32"/>
        </w:rPr>
      </w:pPr>
      <w:r>
        <w:rPr>
          <w:rFonts w:hint="eastAsia" w:ascii="黑体" w:hAnsi="黑体" w:eastAsia="黑体" w:cs="黑体"/>
          <w:sz w:val="32"/>
          <w:szCs w:val="32"/>
        </w:rPr>
        <w:t>第三部分2016年部门预算情况说明</w:t>
      </w:r>
    </w:p>
    <w:p>
      <w:pPr>
        <w:ind w:firstLine="640" w:firstLineChars="200"/>
        <w:rPr>
          <w:rFonts w:ascii="黑体" w:hAnsi="黑体" w:eastAsia="黑体" w:cs="黑体"/>
          <w:sz w:val="32"/>
          <w:szCs w:val="32"/>
        </w:rPr>
      </w:pPr>
      <w:r>
        <w:rPr>
          <w:rFonts w:hint="eastAsia" w:ascii="黑体" w:hAnsi="黑体" w:eastAsia="黑体" w:cs="黑体"/>
          <w:sz w:val="32"/>
          <w:szCs w:val="32"/>
        </w:rPr>
        <w:t>第四部分  名词解释</w:t>
      </w:r>
    </w:p>
    <w:p>
      <w:pPr>
        <w:jc w:val="center"/>
        <w:rPr>
          <w:rFonts w:hint="eastAsia" w:cs="方正小标宋简体" w:asciiTheme="majorEastAsia" w:hAnsiTheme="majorEastAsia" w:eastAsiaTheme="majorEastAsia"/>
          <w:sz w:val="44"/>
          <w:szCs w:val="44"/>
        </w:rPr>
      </w:pPr>
      <w:r>
        <w:rPr>
          <w:rFonts w:hint="eastAsia" w:cs="方正小标宋简体" w:asciiTheme="majorEastAsia" w:hAnsiTheme="majorEastAsia" w:eastAsiaTheme="majorEastAsia"/>
          <w:sz w:val="44"/>
          <w:szCs w:val="44"/>
        </w:rPr>
        <w:br w:type="page"/>
      </w:r>
    </w:p>
    <w:p>
      <w:pPr>
        <w:jc w:val="center"/>
        <w:rPr>
          <w:rFonts w:cs="方正小标宋简体" w:asciiTheme="majorEastAsia" w:hAnsiTheme="majorEastAsia" w:eastAsiaTheme="majorEastAsia"/>
          <w:sz w:val="44"/>
          <w:szCs w:val="44"/>
        </w:rPr>
      </w:pPr>
      <w:bookmarkStart w:id="0" w:name="_GoBack"/>
      <w:bookmarkEnd w:id="0"/>
      <w:r>
        <w:rPr>
          <w:rFonts w:hint="eastAsia" w:cs="方正小标宋简体" w:asciiTheme="majorEastAsia" w:hAnsiTheme="majorEastAsia" w:eastAsiaTheme="majorEastAsia"/>
          <w:sz w:val="44"/>
          <w:szCs w:val="44"/>
        </w:rPr>
        <w:t>第一部分  蕉岭县职业技术学校概况</w:t>
      </w:r>
    </w:p>
    <w:p>
      <w:pPr>
        <w:rPr>
          <w:rFonts w:cs="黑体" w:asciiTheme="majorEastAsia" w:hAnsiTheme="majorEastAsia" w:eastAsiaTheme="majorEastAsia"/>
          <w:sz w:val="44"/>
          <w:szCs w:val="44"/>
        </w:rPr>
      </w:pPr>
    </w:p>
    <w:p>
      <w:pPr>
        <w:numPr>
          <w:ilvl w:val="0"/>
          <w:numId w:val="3"/>
        </w:numPr>
        <w:ind w:firstLine="640"/>
        <w:rPr>
          <w:rFonts w:ascii="黑体" w:hAnsi="黑体" w:eastAsia="黑体" w:cs="黑体"/>
          <w:sz w:val="32"/>
          <w:szCs w:val="32"/>
        </w:rPr>
      </w:pPr>
      <w:r>
        <w:rPr>
          <w:rFonts w:hint="eastAsia" w:ascii="黑体" w:hAnsi="黑体" w:eastAsia="黑体" w:cs="黑体"/>
          <w:sz w:val="32"/>
          <w:szCs w:val="32"/>
        </w:rPr>
        <w:t>主要职责</w:t>
      </w:r>
    </w:p>
    <w:p>
      <w:pPr>
        <w:spacing w:line="288" w:lineRule="auto"/>
        <w:ind w:firstLine="643" w:firstLineChars="200"/>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（一）部门主要职责</w:t>
      </w:r>
    </w:p>
    <w:p>
      <w:pPr>
        <w:spacing w:line="288" w:lineRule="auto"/>
        <w:ind w:firstLine="643" w:firstLineChars="200"/>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蕉岭县职业技术学校</w:t>
      </w:r>
      <w:r>
        <w:rPr>
          <w:rFonts w:hint="eastAsia" w:ascii="仿宋_GB2312" w:hAnsi="Times New Roman" w:eastAsia="仿宋_GB2312" w:cs="Times New Roman"/>
          <w:sz w:val="32"/>
          <w:szCs w:val="32"/>
        </w:rPr>
        <w:t>是主管</w:t>
      </w:r>
      <w:r>
        <w:rPr>
          <w:rFonts w:hint="eastAsia" w:ascii="仿宋_GB2312" w:hAnsi="Times New Roman" w:eastAsia="仿宋_GB2312" w:cs="Times New Roman"/>
          <w:b/>
          <w:sz w:val="32"/>
          <w:szCs w:val="32"/>
        </w:rPr>
        <w:t>职业教育</w:t>
      </w:r>
      <w:r>
        <w:rPr>
          <w:rFonts w:hint="eastAsia" w:ascii="仿宋_GB2312" w:hAnsi="Times New Roman" w:eastAsia="仿宋_GB2312" w:cs="Times New Roman"/>
          <w:sz w:val="32"/>
          <w:szCs w:val="32"/>
        </w:rPr>
        <w:t>工作的职能部门。主要职责：培养实用型社会中等职业技术人才。</w:t>
      </w:r>
    </w:p>
    <w:p>
      <w:pPr>
        <w:spacing w:line="288" w:lineRule="auto"/>
        <w:ind w:firstLine="643" w:firstLineChars="200"/>
        <w:rPr>
          <w:rFonts w:ascii="仿宋_GB2312" w:hAnsi="Times New Roman" w:eastAsia="仿宋_GB2312" w:cs="Times New Roman"/>
          <w:b/>
          <w:sz w:val="32"/>
          <w:szCs w:val="32"/>
        </w:rPr>
      </w:pPr>
      <w:r>
        <w:rPr>
          <w:rFonts w:hint="eastAsia" w:ascii="仿宋_GB2312" w:hAnsi="Times New Roman" w:eastAsia="仿宋_GB2312" w:cs="Times New Roman"/>
          <w:b/>
          <w:sz w:val="32"/>
          <w:szCs w:val="32"/>
        </w:rPr>
        <w:t>（二）机构设置</w:t>
      </w:r>
    </w:p>
    <w:p>
      <w:pPr>
        <w:spacing w:line="288" w:lineRule="auto"/>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本部门</w:t>
      </w:r>
      <w:r>
        <w:rPr>
          <w:rFonts w:hint="eastAsia" w:ascii="仿宋_GB2312" w:hAnsi="Times New Roman" w:eastAsia="仿宋_GB2312" w:cs="Times New Roman"/>
          <w:sz w:val="32"/>
          <w:szCs w:val="32"/>
          <w:lang w:eastAsia="zh-CN"/>
        </w:rPr>
        <w:t>无下属单位，部门预算为本级预算。</w:t>
      </w:r>
      <w:r>
        <w:rPr>
          <w:rFonts w:hint="eastAsia" w:ascii="仿宋_GB2312" w:hAnsi="Times New Roman" w:eastAsia="仿宋_GB2312" w:cs="Times New Roman"/>
          <w:sz w:val="32"/>
          <w:szCs w:val="32"/>
        </w:rPr>
        <w:t>预算为一级预算单位，无所属二级预算单位。学校内设9个机构：1、办公室。2、政教处： 3、教务处、4、实训处、5、培训处6、总务处： 7、团委、学生会8、财会室： 9、工会</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 xml:space="preserve"> </w:t>
      </w:r>
    </w:p>
    <w:p>
      <w:pPr>
        <w:spacing w:line="288" w:lineRule="auto"/>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人员构成情况</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2015年，我校现有教职工77人，编制数72人，借调5人。学校行政14人，其中：党支部书记、校长共1人；副校长3名；办公室主任1人；政教处主任1人，副主任2人；教学、培训处主任1 人，副主任1 人（兼任团委书记）；实训处主任1 人；总务处主任1 人，副主任1 人（兼）；工会主席1 人。其中专任教师70人，本科学历教师65人，学历达标率达92.8﹪，高级教师人数29人，占教师人数的41.43﹪，双师型教师41人，占专任教师人数58.6％。退休教职工10人。</w:t>
      </w:r>
    </w:p>
    <w:p>
      <w:pPr>
        <w:jc w:val="center"/>
        <w:rPr>
          <w:rFonts w:hint="eastAsia" w:cs="方正小标宋简体" w:asciiTheme="majorEastAsia" w:hAnsiTheme="majorEastAsia" w:eastAsiaTheme="majorEastAsia"/>
          <w:sz w:val="44"/>
          <w:szCs w:val="44"/>
        </w:rPr>
      </w:pPr>
      <w:r>
        <w:rPr>
          <w:rFonts w:hint="eastAsia" w:cs="方正小标宋简体" w:asciiTheme="majorEastAsia" w:hAnsiTheme="majorEastAsia" w:eastAsiaTheme="majorEastAsia"/>
          <w:sz w:val="44"/>
          <w:szCs w:val="44"/>
        </w:rPr>
        <w:br w:type="page"/>
      </w:r>
    </w:p>
    <w:p>
      <w:pPr>
        <w:jc w:val="center"/>
        <w:rPr>
          <w:rFonts w:cs="方正小标宋简体" w:asciiTheme="majorEastAsia" w:hAnsiTheme="majorEastAsia" w:eastAsiaTheme="majorEastAsia"/>
          <w:sz w:val="44"/>
          <w:szCs w:val="44"/>
        </w:rPr>
      </w:pPr>
      <w:r>
        <w:rPr>
          <w:rFonts w:hint="eastAsia" w:cs="方正小标宋简体" w:asciiTheme="majorEastAsia" w:hAnsiTheme="majorEastAsia" w:eastAsiaTheme="majorEastAsia"/>
          <w:sz w:val="44"/>
          <w:szCs w:val="44"/>
        </w:rPr>
        <w:t>第二部分  2016年部门预算表（详见部门预算公开表表1-表11）</w:t>
      </w:r>
    </w:p>
    <w:p>
      <w:pPr>
        <w:jc w:val="center"/>
        <w:rPr>
          <w:rFonts w:hint="eastAsia" w:cs="方正小标宋简体" w:asciiTheme="majorEastAsia" w:hAnsiTheme="majorEastAsia" w:eastAsiaTheme="majorEastAsia"/>
          <w:sz w:val="44"/>
          <w:szCs w:val="44"/>
        </w:rPr>
      </w:pPr>
      <w:r>
        <w:rPr>
          <w:rFonts w:hint="eastAsia" w:cs="方正小标宋简体" w:asciiTheme="majorEastAsia" w:hAnsiTheme="majorEastAsia" w:eastAsiaTheme="majorEastAsia"/>
          <w:sz w:val="44"/>
          <w:szCs w:val="44"/>
        </w:rPr>
        <w:br w:type="page"/>
      </w:r>
    </w:p>
    <w:p>
      <w:pPr>
        <w:jc w:val="center"/>
        <w:rPr>
          <w:rFonts w:cs="方正小标宋简体" w:asciiTheme="majorEastAsia" w:hAnsiTheme="majorEastAsia" w:eastAsiaTheme="majorEastAsia"/>
          <w:sz w:val="44"/>
          <w:szCs w:val="44"/>
        </w:rPr>
      </w:pPr>
      <w:r>
        <w:rPr>
          <w:rFonts w:hint="eastAsia" w:cs="方正小标宋简体" w:asciiTheme="majorEastAsia" w:hAnsiTheme="majorEastAsia" w:eastAsiaTheme="majorEastAsia"/>
          <w:sz w:val="44"/>
          <w:szCs w:val="44"/>
        </w:rPr>
        <w:t>第三部分  2016年部门预算情况说明</w:t>
      </w:r>
    </w:p>
    <w:p>
      <w:pPr>
        <w:numPr>
          <w:ilvl w:val="0"/>
          <w:numId w:val="4"/>
        </w:numPr>
        <w:ind w:firstLine="640" w:firstLineChars="200"/>
        <w:rPr>
          <w:rFonts w:ascii="黑体" w:hAnsi="黑体" w:eastAsia="黑体" w:cs="黑体"/>
          <w:sz w:val="32"/>
          <w:szCs w:val="32"/>
        </w:rPr>
      </w:pPr>
      <w:r>
        <w:rPr>
          <w:rFonts w:hint="eastAsia" w:ascii="黑体" w:hAnsi="黑体" w:eastAsia="黑体" w:cs="黑体"/>
          <w:sz w:val="32"/>
          <w:szCs w:val="32"/>
        </w:rPr>
        <w:t>部门预算收支增减变化情况</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2016年本部门收入预算</w:t>
      </w:r>
      <w:r>
        <w:rPr>
          <w:rFonts w:hint="eastAsia" w:ascii="宋体" w:hAnsi="宋体"/>
          <w:sz w:val="32"/>
          <w:szCs w:val="32"/>
        </w:rPr>
        <w:t>701.10</w:t>
      </w:r>
      <w:r>
        <w:rPr>
          <w:rFonts w:hint="eastAsia" w:ascii="仿宋_GB2312" w:hAnsi="仿宋_GB2312" w:eastAsia="仿宋_GB2312" w:cs="仿宋_GB2312"/>
          <w:sz w:val="32"/>
          <w:szCs w:val="32"/>
        </w:rPr>
        <w:t>万元，比上年增加387.7万元，增长123.7%，主要原因是增加工资及增加中职教育支出；支出预算701.10万元，比上年增加387.7万元，增长123.7%，主要原因是增加工资及增加中职教育支出</w:t>
      </w:r>
    </w:p>
    <w:p>
      <w:pPr>
        <w:ind w:firstLine="640" w:firstLineChars="200"/>
        <w:rPr>
          <w:rFonts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“三公”经费安排情况说明</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2016年本部门“三公”经费预算安排0万元，比上年增加0万元，增长0%，主要原因是与上年保持不变。其中：因公出国（境）费0万元，比上年增加0万元，增长0%，主要原因是与上年保持不变；公务用车购置及运行费0万元，比上年增加0万元，增长0%，主要原因是与上年保持不变；公务接待费0万元，比上年增加0万元，增长0%，主要原因是与上年保持不变。</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机关运行经费安排情况</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2016年，本部门机关运行经费安排0万元，比上年增加0万元，增长0%，主要原因是与上年保持不变。其中：办公费0万元，印刷费0万元，邮电费0万元，差旅费0万元，会议费0万元，福利费0万元，日常维修费0万元，专用材料及一般设备购置费0万元，办公用房水电费0万元，办公用房取暖费0万元，办公用房物业管理费0万元，公务用车运行维护费0万元等。</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政府采购情况</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2016年本部门政府采购安排 0万元，其中：货物类采购预算0万元，工程类采购预算0万元，服务类采购预算0万元等。</w:t>
      </w:r>
    </w:p>
    <w:p>
      <w:pPr>
        <w:ind w:firstLine="640"/>
        <w:rPr>
          <w:rFonts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国有资产占有使用情况</w:t>
      </w:r>
    </w:p>
    <w:p>
      <w:pPr>
        <w:spacing w:line="580" w:lineRule="exact"/>
        <w:ind w:firstLine="640" w:firstLineChars="200"/>
        <w:rPr>
          <w:rFonts w:ascii="仿宋_GB2312" w:eastAsia="仿宋_GB2312"/>
          <w:b/>
          <w:sz w:val="32"/>
          <w:szCs w:val="32"/>
        </w:rPr>
      </w:pPr>
      <w:r>
        <w:rPr>
          <w:rFonts w:hint="eastAsia" w:ascii="仿宋_GB2312" w:eastAsia="仿宋_GB2312"/>
          <w:sz w:val="32"/>
          <w:szCs w:val="32"/>
        </w:rPr>
        <w:t>截至2016年1月31日，本部门共有固定资产4644374.1元，其中房屋及建筑物 1907708.8元，专用设备548903.9元，通用设备452080，电子产品及通信设备1014585，仪器仪表167000元，家具、用具150610元文艺体育15040元图书文物388446.4元。无形资产509220元。本部门共有车辆0辆。</w:t>
      </w:r>
    </w:p>
    <w:p>
      <w:pPr>
        <w:numPr>
          <w:ilvl w:val="0"/>
          <w:numId w:val="0"/>
        </w:numPr>
        <w:ind w:firstLine="640" w:firstLineChars="200"/>
        <w:rPr>
          <w:rFonts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预算绩效信息公开情况</w:t>
      </w:r>
    </w:p>
    <w:p>
      <w:pPr>
        <w:snapToGrid w:val="0"/>
        <w:spacing w:line="580" w:lineRule="exact"/>
        <w:ind w:firstLine="515" w:firstLineChars="161"/>
        <w:rPr>
          <w:rFonts w:ascii="仿宋_GB2312" w:eastAsia="仿宋_GB2312"/>
          <w:sz w:val="32"/>
          <w:szCs w:val="32"/>
        </w:rPr>
      </w:pPr>
      <w:r>
        <w:rPr>
          <w:rFonts w:hint="eastAsia" w:ascii="仿宋_GB2312" w:eastAsia="仿宋_GB2312"/>
          <w:sz w:val="32"/>
          <w:szCs w:val="32"/>
        </w:rPr>
        <w:t>我部门组织对2016年度一般公共预算项目支出全面开展绩效自评。自评覆盖率达到100%。</w:t>
      </w:r>
    </w:p>
    <w:p>
      <w:pPr>
        <w:snapToGrid w:val="0"/>
        <w:spacing w:line="580" w:lineRule="exact"/>
        <w:ind w:firstLine="640"/>
        <w:rPr>
          <w:rFonts w:ascii="仿宋_GB2312" w:eastAsia="仿宋_GB2312"/>
          <w:sz w:val="32"/>
          <w:szCs w:val="32"/>
        </w:rPr>
      </w:pPr>
      <w:r>
        <w:rPr>
          <w:rFonts w:hint="eastAsia" w:ascii="仿宋_GB2312" w:eastAsia="仿宋_GB2312"/>
          <w:sz w:val="32"/>
          <w:szCs w:val="32"/>
        </w:rPr>
        <w:t>从评价情况来看，各个项目支出绩效情况较为理想达到项目申请时设定的各项绩效目标。</w:t>
      </w:r>
    </w:p>
    <w:p>
      <w:pPr>
        <w:ind w:firstLine="660" w:firstLineChars="150"/>
        <w:rPr>
          <w:rFonts w:hint="eastAsia" w:cs="方正小标宋简体" w:asciiTheme="majorEastAsia" w:hAnsiTheme="majorEastAsia" w:eastAsiaTheme="majorEastAsia"/>
          <w:sz w:val="44"/>
          <w:szCs w:val="44"/>
        </w:rPr>
      </w:pPr>
      <w:r>
        <w:rPr>
          <w:rFonts w:hint="eastAsia" w:cs="方正小标宋简体" w:asciiTheme="majorEastAsia" w:hAnsiTheme="majorEastAsia" w:eastAsiaTheme="majorEastAsia"/>
          <w:sz w:val="44"/>
          <w:szCs w:val="44"/>
        </w:rPr>
        <w:br w:type="page"/>
      </w:r>
    </w:p>
    <w:p>
      <w:pPr>
        <w:jc w:val="center"/>
        <w:rPr>
          <w:rFonts w:cs="方正小标宋简体" w:asciiTheme="majorEastAsia" w:hAnsiTheme="majorEastAsia" w:eastAsiaTheme="majorEastAsia"/>
          <w:sz w:val="44"/>
          <w:szCs w:val="44"/>
        </w:rPr>
      </w:pPr>
      <w:r>
        <w:rPr>
          <w:rFonts w:hint="eastAsia" w:cs="方正小标宋简体" w:asciiTheme="majorEastAsia" w:hAnsiTheme="majorEastAsia" w:eastAsiaTheme="majorEastAsia"/>
          <w:sz w:val="44"/>
          <w:szCs w:val="44"/>
        </w:rPr>
        <w:t>第四部分  名词解释</w:t>
      </w:r>
    </w:p>
    <w:p>
      <w:pPr>
        <w:numPr>
          <w:ilvl w:val="0"/>
          <w:numId w:val="5"/>
        </w:numPr>
        <w:spacing w:line="288" w:lineRule="auto"/>
        <w:ind w:firstLine="630" w:firstLineChars="196"/>
        <w:rPr>
          <w:rFonts w:ascii="仿宋_GB2312" w:eastAsia="仿宋_GB2312"/>
          <w:sz w:val="32"/>
          <w:szCs w:val="32"/>
        </w:rPr>
      </w:pPr>
      <w:r>
        <w:rPr>
          <w:rFonts w:hint="eastAsia" w:ascii="仿宋_GB2312" w:eastAsia="仿宋_GB2312"/>
          <w:b/>
          <w:sz w:val="32"/>
          <w:szCs w:val="32"/>
        </w:rPr>
        <w:t>财政拨款收入：</w:t>
      </w:r>
      <w:r>
        <w:rPr>
          <w:rFonts w:hint="eastAsia" w:ascii="仿宋_GB2312" w:eastAsia="仿宋_GB2312"/>
          <w:sz w:val="32"/>
          <w:szCs w:val="32"/>
        </w:rPr>
        <w:t>指财政当年拨付的资金事业收入。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二、事业收入：</w:t>
      </w:r>
      <w:r>
        <w:rPr>
          <w:rFonts w:hint="eastAsia" w:ascii="仿宋_GB2312" w:eastAsia="仿宋_GB2312"/>
          <w:sz w:val="32"/>
          <w:szCs w:val="32"/>
        </w:rPr>
        <w:t>指事业单位开展专业业务活动及辅动所取得的收入。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三、经营收入：</w:t>
      </w:r>
      <w:r>
        <w:rPr>
          <w:rFonts w:hint="eastAsia" w:ascii="仿宋_GB2312" w:eastAsia="仿宋_GB2312"/>
          <w:sz w:val="32"/>
          <w:szCs w:val="32"/>
        </w:rPr>
        <w:t>指事业单位在专业业务活动及其辅助活动之外开展非独立核算经营活动取得的收入。</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四、其他收入：</w:t>
      </w:r>
      <w:r>
        <w:rPr>
          <w:rFonts w:hint="eastAsia" w:ascii="仿宋_GB2312" w:eastAsia="仿宋_GB2312"/>
          <w:sz w:val="32"/>
          <w:szCs w:val="32"/>
        </w:rPr>
        <w:t>指除上述“财政拨款收入”、“事业收入”、“经营收入”等以外的收入。主要是非本级财政拨款、存款利息收入、事业单位固定资产出租收入等。</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五、用事业基金弥补收支差额：</w:t>
      </w:r>
      <w:r>
        <w:rPr>
          <w:rFonts w:hint="eastAsia" w:ascii="仿宋_GB2312" w:eastAsia="仿宋_GB2312"/>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六、年初结转和结余：</w:t>
      </w:r>
      <w:r>
        <w:rPr>
          <w:rFonts w:hint="eastAsia" w:ascii="仿宋_GB2312" w:eastAsia="仿宋_GB2312"/>
          <w:sz w:val="32"/>
          <w:szCs w:val="32"/>
        </w:rPr>
        <w:t>指以前年度尚未完成、结转到本年按有关规定继续使用的资金。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七、结余分配：</w:t>
      </w:r>
      <w:r>
        <w:rPr>
          <w:rFonts w:hint="eastAsia" w:ascii="仿宋_GB2312" w:eastAsia="仿宋_GB2312"/>
          <w:sz w:val="32"/>
          <w:szCs w:val="32"/>
        </w:rPr>
        <w:t>指事业事位按规定提取的职工福利基金、事业基金和缴纳的所得税，以及建设单位按规定应交回的基本建设竣工项目结余资金。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九、基本支出：</w:t>
      </w:r>
      <w:r>
        <w:rPr>
          <w:rFonts w:hint="eastAsia" w:ascii="仿宋_GB2312" w:eastAsia="仿宋_GB2312"/>
          <w:sz w:val="32"/>
          <w:szCs w:val="32"/>
        </w:rPr>
        <w:t>指为保障机构正常运转、完成日常工作任务面发生的人员支出和公用支出。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十、项目支出：</w:t>
      </w:r>
      <w:r>
        <w:rPr>
          <w:rFonts w:hint="eastAsia" w:ascii="仿宋_GB2312" w:eastAsia="仿宋_GB2312"/>
          <w:sz w:val="32"/>
          <w:szCs w:val="32"/>
        </w:rPr>
        <w:t>指在基本支出这外为完成特定行政任务和事业发展目标所发生的支出。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十一、经营支出：</w:t>
      </w:r>
      <w:r>
        <w:rPr>
          <w:rFonts w:hint="eastAsia" w:ascii="仿宋_GB2312" w:eastAsia="仿宋_GB2312"/>
          <w:sz w:val="32"/>
          <w:szCs w:val="32"/>
        </w:rPr>
        <w:t>指事业单位在专业业务活动及其辅助活动之外开展非独立核算经营活动所发生的支出。</w:t>
      </w:r>
    </w:p>
    <w:p>
      <w:pPr>
        <w:spacing w:line="288" w:lineRule="auto"/>
        <w:ind w:left="1" w:firstLine="630" w:firstLineChars="196"/>
        <w:rPr>
          <w:rFonts w:ascii="仿宋_GB2312" w:hAnsi="宋体" w:eastAsia="仿宋_GB2312" w:cs="宋体"/>
          <w:kern w:val="0"/>
          <w:sz w:val="32"/>
          <w:szCs w:val="32"/>
        </w:rPr>
      </w:pPr>
      <w:r>
        <w:rPr>
          <w:rFonts w:hint="eastAsia" w:ascii="仿宋_GB2312" w:eastAsia="仿宋_GB2312"/>
          <w:b/>
          <w:sz w:val="32"/>
          <w:szCs w:val="32"/>
        </w:rPr>
        <w:t>十二、“三公”经费：</w:t>
      </w:r>
      <w:r>
        <w:rPr>
          <w:rFonts w:hint="eastAsia" w:ascii="仿宋_GB2312" w:hAnsi="宋体" w:eastAsia="仿宋_GB2312" w:cs="宋体"/>
          <w:kern w:val="0"/>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630" w:firstLineChars="196"/>
        <w:rPr>
          <w:rFonts w:ascii="仿宋_GB2312" w:eastAsia="仿宋_GB2312"/>
          <w:sz w:val="32"/>
          <w:szCs w:val="32"/>
        </w:rPr>
      </w:pPr>
      <w:r>
        <w:rPr>
          <w:rFonts w:hint="eastAsia" w:ascii="仿宋_GB2312" w:eastAsia="仿宋_GB2312"/>
          <w:b/>
          <w:sz w:val="32"/>
          <w:szCs w:val="32"/>
        </w:rPr>
        <w:t>十三、机关运行经费：</w:t>
      </w:r>
      <w:r>
        <w:rPr>
          <w:rFonts w:hint="eastAsia" w:ascii="仿宋_GB2312" w:eastAsia="仿宋_GB2312"/>
          <w:sz w:val="32"/>
          <w:szCs w:val="32"/>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方正舒体"/>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5F2250"/>
    <w:multiLevelType w:val="singleLevel"/>
    <w:tmpl w:val="5A5F2250"/>
    <w:lvl w:ilvl="0" w:tentative="0">
      <w:start w:val="1"/>
      <w:numFmt w:val="chineseCounting"/>
      <w:suff w:val="nothing"/>
      <w:lvlText w:val="%1、"/>
      <w:lvlJc w:val="left"/>
    </w:lvl>
  </w:abstractNum>
  <w:abstractNum w:abstractNumId="1">
    <w:nsid w:val="5A5F2384"/>
    <w:multiLevelType w:val="singleLevel"/>
    <w:tmpl w:val="5A5F2384"/>
    <w:lvl w:ilvl="0" w:tentative="0">
      <w:start w:val="1"/>
      <w:numFmt w:val="chineseCounting"/>
      <w:suff w:val="nothing"/>
      <w:lvlText w:val="%1、"/>
      <w:lvlJc w:val="left"/>
    </w:lvl>
  </w:abstractNum>
  <w:abstractNum w:abstractNumId="2">
    <w:nsid w:val="5A5F2A51"/>
    <w:multiLevelType w:val="singleLevel"/>
    <w:tmpl w:val="5A5F2A51"/>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56C58"/>
    <w:rsid w:val="001E2158"/>
    <w:rsid w:val="002941E1"/>
    <w:rsid w:val="00404EAE"/>
    <w:rsid w:val="004B3C9F"/>
    <w:rsid w:val="004B7BF8"/>
    <w:rsid w:val="00503F49"/>
    <w:rsid w:val="00516EBC"/>
    <w:rsid w:val="00524076"/>
    <w:rsid w:val="005C1DD8"/>
    <w:rsid w:val="00641062"/>
    <w:rsid w:val="007426E0"/>
    <w:rsid w:val="00762D6B"/>
    <w:rsid w:val="007B6780"/>
    <w:rsid w:val="00884764"/>
    <w:rsid w:val="00A91B79"/>
    <w:rsid w:val="00B66137"/>
    <w:rsid w:val="00BF3DF0"/>
    <w:rsid w:val="00D020C1"/>
    <w:rsid w:val="081D07C1"/>
    <w:rsid w:val="1A9E5396"/>
    <w:rsid w:val="2F300128"/>
    <w:rsid w:val="4E3B4498"/>
    <w:rsid w:val="5FD0477D"/>
    <w:rsid w:val="658E0CA7"/>
    <w:rsid w:val="6D535020"/>
    <w:rsid w:val="794A2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unhideWhenUsed/>
    <w:qFormat/>
    <w:uiPriority w:val="99"/>
    <w:pPr>
      <w:ind w:firstLine="420" w:firstLineChars="200"/>
    </w:pPr>
  </w:style>
  <w:style w:type="character" w:customStyle="1" w:styleId="8">
    <w:name w:val="页眉 Char"/>
    <w:basedOn w:val="5"/>
    <w:link w:val="4"/>
    <w:qFormat/>
    <w:uiPriority w:val="0"/>
    <w:rPr>
      <w:kern w:val="2"/>
      <w:sz w:val="18"/>
      <w:szCs w:val="18"/>
    </w:rPr>
  </w:style>
  <w:style w:type="character" w:customStyle="1" w:styleId="9">
    <w:name w:val="页脚 Char"/>
    <w:basedOn w:val="5"/>
    <w:link w:val="3"/>
    <w:qFormat/>
    <w:uiPriority w:val="0"/>
    <w:rPr>
      <w:kern w:val="2"/>
      <w:sz w:val="18"/>
      <w:szCs w:val="18"/>
    </w:rPr>
  </w:style>
  <w:style w:type="character" w:customStyle="1" w:styleId="10">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FAFD8F-E5BC-4FE0-A721-27B3CBBEF609}">
  <ds:schemaRefs/>
</ds:datastoreItem>
</file>

<file path=docProps/app.xml><?xml version="1.0" encoding="utf-8"?>
<Properties xmlns="http://schemas.openxmlformats.org/officeDocument/2006/extended-properties" xmlns:vt="http://schemas.openxmlformats.org/officeDocument/2006/docPropsVTypes">
  <Template>0.docx</Template>
  <Company>china</Company>
  <Pages>7</Pages>
  <Words>401</Words>
  <Characters>2290</Characters>
  <Lines>19</Lines>
  <Paragraphs>5</Paragraphs>
  <TotalTime>1</TotalTime>
  <ScaleCrop>false</ScaleCrop>
  <LinksUpToDate>false</LinksUpToDate>
  <CharactersWithSpaces>2686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cp:lastPrinted>2018-04-19T02:46:00Z</cp:lastPrinted>
  <dcterms:modified xsi:type="dcterms:W3CDTF">2018-05-23T10:07:07Z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