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2016年蕉岭县幼儿园部门预算公开</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蕉岭县幼儿园概况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2016年蕉岭县幼儿园部门预算表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2016年蕉岭县幼儿园部门预算情况说明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第一部分 </w:t>
      </w:r>
      <w:r>
        <w:rPr>
          <w:rFonts w:hint="eastAsia" w:ascii="方正小标宋简体" w:hAnsi="方正小标宋简体" w:eastAsia="方正小标宋简体" w:cs="方正小标宋简体"/>
          <w:sz w:val="48"/>
          <w:szCs w:val="48"/>
        </w:rPr>
        <w:t xml:space="preserve"> </w:t>
      </w:r>
      <w:r>
        <w:rPr>
          <w:rFonts w:hint="eastAsia" w:ascii="黑体" w:hAnsi="黑体" w:eastAsia="黑体" w:cs="黑体"/>
          <w:sz w:val="48"/>
          <w:szCs w:val="48"/>
        </w:rPr>
        <w:t>蕉岭县幼儿园</w:t>
      </w:r>
      <w:r>
        <w:rPr>
          <w:rFonts w:hint="eastAsia" w:ascii="方正小标宋简体" w:hAnsi="方正小标宋简体" w:eastAsia="方正小标宋简体" w:cs="方正小标宋简体"/>
          <w:sz w:val="48"/>
          <w:szCs w:val="48"/>
        </w:rPr>
        <w:t>概况</w:t>
      </w:r>
    </w:p>
    <w:p>
      <w:pPr>
        <w:rPr>
          <w:rFonts w:ascii="黑体" w:hAnsi="黑体" w:eastAsia="黑体" w:cs="黑体"/>
          <w:sz w:val="44"/>
          <w:szCs w:val="44"/>
        </w:rPr>
      </w:pPr>
    </w:p>
    <w:p>
      <w:pPr>
        <w:widowControl/>
        <w:shd w:val="clear" w:color="auto" w:fill="FFFFFF"/>
        <w:spacing w:line="471" w:lineRule="atLeast"/>
        <w:ind w:firstLine="640" w:firstLineChars="200"/>
        <w:jc w:val="left"/>
        <w:rPr>
          <w:rFonts w:ascii="黑体" w:hAnsi="黑体" w:eastAsia="黑体" w:cs="黑体"/>
          <w:sz w:val="32"/>
          <w:szCs w:val="32"/>
        </w:rPr>
      </w:pPr>
      <w:r>
        <w:rPr>
          <w:rFonts w:hint="eastAsia" w:ascii="黑体" w:hAnsi="黑体" w:eastAsia="黑体" w:cs="黑体"/>
          <w:sz w:val="32"/>
          <w:szCs w:val="32"/>
        </w:rPr>
        <w:t>一、主要职责</w:t>
      </w:r>
    </w:p>
    <w:p>
      <w:pPr>
        <w:spacing w:line="288" w:lineRule="auto"/>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1.贯彻执行党和国家的教育方针、政策、法律和法规，坚持依法治教，依法办学。</w:t>
      </w:r>
    </w:p>
    <w:p>
      <w:pPr>
        <w:spacing w:line="288" w:lineRule="auto"/>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2.根据区政府制定的教育事业发展规划，制定本校教育发展规划和计划并抓好组织实施和落实工作。</w:t>
      </w:r>
    </w:p>
    <w:p>
      <w:pPr>
        <w:spacing w:line="288" w:lineRule="auto"/>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3.按照管理权限，负责对本学校的教师进行管理。</w:t>
      </w:r>
    </w:p>
    <w:p>
      <w:pPr>
        <w:spacing w:line="288" w:lineRule="auto"/>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4.执行国家课程（课时）计划，开齐课程，开足课时，全面推进素质教育。</w:t>
      </w:r>
    </w:p>
    <w:p>
      <w:pPr>
        <w:spacing w:line="288" w:lineRule="auto"/>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5.负责对学校教育和教学工作的业务指导、检查、评价，提高教育教学质量。</w:t>
      </w:r>
    </w:p>
    <w:p>
      <w:pPr>
        <w:spacing w:line="288" w:lineRule="auto"/>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6.开展教育教学改革，促进学校发展。</w:t>
      </w:r>
    </w:p>
    <w:p>
      <w:pPr>
        <w:ind w:left="640"/>
        <w:rPr>
          <w:rFonts w:ascii="黑体" w:hAnsi="黑体" w:eastAsia="黑体" w:cs="黑体"/>
          <w:sz w:val="32"/>
          <w:szCs w:val="32"/>
        </w:rPr>
      </w:pPr>
    </w:p>
    <w:p>
      <w:pPr>
        <w:rPr>
          <w:rFonts w:ascii="黑体" w:hAnsi="黑体" w:eastAsia="黑体" w:cs="黑体"/>
          <w:sz w:val="32"/>
          <w:szCs w:val="32"/>
        </w:rPr>
      </w:pPr>
      <w:r>
        <w:rPr>
          <w:rFonts w:hint="eastAsia" w:ascii="黑体" w:hAnsi="黑体" w:eastAsia="黑体" w:cs="黑体"/>
          <w:sz w:val="32"/>
          <w:szCs w:val="32"/>
        </w:rPr>
        <w:t xml:space="preserve">    二、机构设置</w:t>
      </w:r>
    </w:p>
    <w:p>
      <w:pPr>
        <w:spacing w:line="288" w:lineRule="auto"/>
        <w:ind w:firstLine="643" w:firstLineChars="200"/>
        <w:rPr>
          <w:rFonts w:asciiTheme="minorEastAsia" w:hAnsiTheme="minorEastAsia"/>
          <w:b/>
          <w:sz w:val="32"/>
          <w:szCs w:val="32"/>
        </w:rPr>
      </w:pPr>
      <w:r>
        <w:rPr>
          <w:rFonts w:hint="eastAsia" w:asciiTheme="minorEastAsia" w:hAnsiTheme="minorEastAsia"/>
          <w:b/>
          <w:sz w:val="32"/>
          <w:szCs w:val="32"/>
        </w:rPr>
        <w:t>（一）部门机构设置、职能</w:t>
      </w:r>
    </w:p>
    <w:p>
      <w:pPr>
        <w:spacing w:line="288" w:lineRule="auto"/>
        <w:ind w:firstLine="640" w:firstLineChars="200"/>
        <w:rPr>
          <w:rFonts w:hint="eastAsia" w:ascii="仿宋_GB2312" w:eastAsia="仿宋_GB2312"/>
          <w:sz w:val="32"/>
          <w:szCs w:val="32"/>
          <w:lang w:val="en-US" w:eastAsia="zh-CN"/>
        </w:rPr>
      </w:pPr>
      <w:r>
        <w:rPr>
          <w:rFonts w:hint="eastAsia" w:ascii="黑体" w:hAnsi="黑体" w:eastAsia="黑体" w:cs="黑体"/>
          <w:sz w:val="32"/>
          <w:szCs w:val="32"/>
          <w:lang w:val="en-US" w:eastAsia="zh-CN"/>
        </w:rPr>
        <w:t>1.</w:t>
      </w:r>
      <w:r>
        <w:rPr>
          <w:rFonts w:hint="eastAsia" w:ascii="仿宋_GB2312" w:eastAsia="仿宋_GB2312"/>
          <w:sz w:val="32"/>
          <w:szCs w:val="32"/>
          <w:lang w:val="en-US" w:eastAsia="zh-CN"/>
        </w:rPr>
        <w:t>本部门无下属单位，部门预算为本级预算。</w:t>
      </w:r>
    </w:p>
    <w:p>
      <w:pPr>
        <w:spacing w:line="288"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2.蕉岭县幼儿园是隶属蕉岭县教育局管理的事业单位，内设园长室，副园长室，教研组，会计出纳室，保健室。</w:t>
      </w:r>
    </w:p>
    <w:p>
      <w:pPr>
        <w:spacing w:line="288" w:lineRule="auto"/>
        <w:ind w:firstLine="643" w:firstLineChars="200"/>
        <w:rPr>
          <w:rFonts w:asciiTheme="minorEastAsia" w:hAnsiTheme="minorEastAsia"/>
          <w:b/>
          <w:sz w:val="32"/>
          <w:szCs w:val="32"/>
        </w:rPr>
      </w:pPr>
      <w:r>
        <w:rPr>
          <w:rFonts w:hint="eastAsia" w:asciiTheme="minorEastAsia" w:hAnsiTheme="minorEastAsia"/>
          <w:b/>
          <w:sz w:val="32"/>
          <w:szCs w:val="32"/>
        </w:rPr>
        <w:t>（二）人员构成情况</w:t>
      </w:r>
    </w:p>
    <w:p>
      <w:pPr>
        <w:spacing w:line="288" w:lineRule="auto"/>
        <w:ind w:firstLine="640" w:firstLineChars="200"/>
        <w:rPr>
          <w:rFonts w:hint="eastAsia" w:ascii="仿宋" w:hAnsi="仿宋" w:eastAsia="仿宋" w:cs="仿宋"/>
          <w:sz w:val="32"/>
          <w:szCs w:val="32"/>
        </w:rPr>
      </w:pPr>
      <w:bookmarkStart w:id="0" w:name="_GoBack"/>
      <w:r>
        <w:rPr>
          <w:rFonts w:hint="eastAsia" w:ascii="仿宋" w:hAnsi="仿宋" w:eastAsia="仿宋" w:cs="仿宋"/>
          <w:sz w:val="32"/>
          <w:szCs w:val="32"/>
        </w:rPr>
        <w:t>我园现有教学班7个，学生人数366人，共有教职工24人，退休人员22人。</w:t>
      </w:r>
    </w:p>
    <w:bookmarkEnd w:id="0"/>
    <w:p>
      <w:pPr>
        <w:spacing w:line="288" w:lineRule="auto"/>
        <w:ind w:firstLine="643" w:firstLineChars="200"/>
        <w:rPr>
          <w:rFonts w:asciiTheme="minorEastAsia" w:hAnsiTheme="minorEastAsia"/>
          <w:b/>
          <w:sz w:val="32"/>
          <w:szCs w:val="32"/>
        </w:rPr>
      </w:pPr>
      <w:r>
        <w:rPr>
          <w:rFonts w:hint="eastAsia" w:asciiTheme="minorEastAsia" w:hAnsiTheme="minorEastAsia"/>
          <w:b/>
          <w:sz w:val="32"/>
          <w:szCs w:val="32"/>
        </w:rPr>
        <w:t>（三）预算年度的主要工作任务</w:t>
      </w:r>
    </w:p>
    <w:p>
      <w:pPr>
        <w:spacing w:line="288" w:lineRule="auto"/>
        <w:ind w:firstLine="640" w:firstLineChars="200"/>
        <w:rPr>
          <w:rFonts w:asciiTheme="minorEastAsia" w:hAnsiTheme="minorEastAsia"/>
          <w:sz w:val="32"/>
          <w:szCs w:val="32"/>
        </w:rPr>
      </w:pPr>
      <w:r>
        <w:rPr>
          <w:rFonts w:ascii="仿宋_GB2312" w:hAnsi="Calibri" w:eastAsia="仿宋_GB2312" w:cs="Times New Roman"/>
          <w:sz w:val="32"/>
          <w:szCs w:val="32"/>
        </w:rPr>
        <w:t>主要任务：贯彻落实关于幼儿教育的法律、法规和方针政策， 实行保育与教育相结合的原则，对幼儿实施体、智、德、美全面发展的教育，为幼儿家长提供便利；制订教育工作计划，并组织实施；建立健全幼儿园各项安全管理制度，建立幼儿园与家长联系制度，共同配合完成教育任务；建立卫生负责和检查制度，把幼儿园卫生工作纳入目标管理内容；按照相关卫生要求和标准，为幼儿提供合理膳食</w:t>
      </w:r>
      <w:r>
        <w:rPr>
          <w:rFonts w:hint="eastAsia" w:ascii="仿宋_GB2312" w:eastAsia="仿宋_GB2312"/>
          <w:sz w:val="32"/>
          <w:szCs w:val="32"/>
        </w:rPr>
        <w:t>。</w:t>
      </w:r>
    </w:p>
    <w:p>
      <w:pPr>
        <w:spacing w:line="288" w:lineRule="auto"/>
        <w:ind w:firstLine="640" w:firstLineChars="200"/>
        <w:rPr>
          <w:rFonts w:asciiTheme="minorEastAsia" w:hAnsiTheme="minorEastAsia"/>
          <w:sz w:val="32"/>
          <w:szCs w:val="32"/>
        </w:rPr>
      </w:pP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pPr>
        <w:spacing w:line="288" w:lineRule="auto"/>
        <w:ind w:firstLine="800" w:firstLineChars="250"/>
        <w:rPr>
          <w:rFonts w:asciiTheme="minorEastAsia" w:hAnsiTheme="minorEastAsia"/>
          <w:sz w:val="32"/>
          <w:szCs w:val="32"/>
        </w:rPr>
      </w:pPr>
      <w:r>
        <w:rPr>
          <w:rFonts w:hint="eastAsia" w:asciiTheme="minorEastAsia" w:hAnsiTheme="minorEastAsia"/>
          <w:sz w:val="32"/>
          <w:szCs w:val="32"/>
        </w:rPr>
        <w:t>详见：蕉岭县幼儿园2016年度部门预算公开情况表（公开01表-公开11表）</w:t>
      </w:r>
    </w:p>
    <w:p>
      <w:pPr>
        <w:ind w:firstLine="1155" w:firstLineChars="550"/>
      </w:pPr>
    </w:p>
    <w:p>
      <w:pPr>
        <w:ind w:firstLine="1100" w:firstLineChars="25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pPr>
      <w:r>
        <w:rPr>
          <w:rFonts w:hint="eastAsia" w:ascii="方正小标宋简体" w:hAnsi="方正小标宋简体" w:eastAsia="方正小标宋简体" w:cs="方正小标宋简体"/>
          <w:sz w:val="44"/>
          <w:szCs w:val="44"/>
        </w:rPr>
        <w:t>第三部分  2016年部门预算情况说明</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2016年本部门收入预算318万元，比上年增加100万元，增长45.8%，主要原因是人员经费收入增加；支出预算318万元，比上年增加100万元，增长45.8%，主要原因是人员经费支出增加。</w:t>
      </w:r>
    </w:p>
    <w:p>
      <w:pPr>
        <w:widowControl/>
        <w:shd w:val="clear" w:color="auto" w:fill="FFFFFF"/>
        <w:spacing w:line="471" w:lineRule="atLeast"/>
        <w:ind w:firstLine="640" w:firstLineChars="200"/>
        <w:jc w:val="left"/>
        <w:rPr>
          <w:rFonts w:ascii="黑体" w:hAnsi="黑体" w:eastAsia="黑体" w:cs="黑体"/>
          <w:sz w:val="32"/>
          <w:szCs w:val="32"/>
        </w:rPr>
      </w:pPr>
      <w:r>
        <w:rPr>
          <w:rFonts w:hint="eastAsia" w:ascii="黑体" w:hAnsi="黑体" w:eastAsia="黑体" w:cs="黑体"/>
          <w:sz w:val="32"/>
          <w:szCs w:val="32"/>
        </w:rPr>
        <w:t>二、“三公”经费安排情况说明</w:t>
      </w:r>
    </w:p>
    <w:p>
      <w:pPr>
        <w:widowControl/>
        <w:shd w:val="clear" w:color="auto" w:fill="FFFFFF"/>
        <w:spacing w:line="471" w:lineRule="atLeast"/>
        <w:ind w:firstLine="640" w:firstLineChars="200"/>
        <w:jc w:val="left"/>
        <w:rPr>
          <w:rFonts w:cs="宋体" w:asciiTheme="majorEastAsia" w:hAnsiTheme="majorEastAsia" w:eastAsiaTheme="majorEastAsia"/>
          <w:kern w:val="0"/>
          <w:sz w:val="30"/>
          <w:szCs w:val="30"/>
        </w:rPr>
      </w:pPr>
      <w:r>
        <w:rPr>
          <w:rFonts w:hint="eastAsia" w:ascii="仿宋_GB2312" w:hAnsi="Calibri" w:eastAsia="仿宋_GB2312" w:cs="Times New Roman"/>
          <w:sz w:val="32"/>
          <w:szCs w:val="32"/>
        </w:rPr>
        <w:t>2016年“三公”经费财政拨款预算数0万元，其中：因公出国（境）经费0万元，公务接待费0万元，公务用车购置及运行维护费0万元（公务用车购置费0万元，公务用车运行维护费0万元）。</w:t>
      </w:r>
    </w:p>
    <w:p>
      <w:pPr>
        <w:widowControl/>
        <w:shd w:val="clear" w:color="auto" w:fill="FFFFFF"/>
        <w:spacing w:line="620" w:lineRule="atLeast"/>
        <w:ind w:firstLine="640"/>
        <w:jc w:val="left"/>
        <w:rPr>
          <w:rFonts w:cs="宋体" w:asciiTheme="majorEastAsia" w:hAnsiTheme="majorEastAsia" w:eastAsiaTheme="majorEastAsia"/>
          <w:kern w:val="0"/>
          <w:sz w:val="30"/>
          <w:szCs w:val="30"/>
        </w:rPr>
      </w:pPr>
      <w:r>
        <w:rPr>
          <w:rFonts w:hint="eastAsia" w:cs="宋体" w:asciiTheme="majorEastAsia" w:hAnsiTheme="majorEastAsia" w:eastAsiaTheme="majorEastAsia"/>
          <w:b/>
          <w:bCs/>
          <w:kern w:val="0"/>
          <w:sz w:val="30"/>
          <w:szCs w:val="30"/>
        </w:rPr>
        <w:t>（一）因公出国（境）经费</w:t>
      </w:r>
    </w:p>
    <w:p>
      <w:pPr>
        <w:widowControl/>
        <w:shd w:val="clear" w:color="auto" w:fill="FFFFFF"/>
        <w:spacing w:line="471" w:lineRule="atLeast"/>
        <w:ind w:firstLine="640" w:firstLineChars="200"/>
        <w:jc w:val="left"/>
        <w:rPr>
          <w:rFonts w:hint="eastAsia" w:ascii="仿宋_GB2312" w:hAnsi="Calibri" w:eastAsia="仿宋_GB2312" w:cs="Times New Roman"/>
          <w:sz w:val="32"/>
          <w:szCs w:val="32"/>
        </w:rPr>
      </w:pPr>
      <w:r>
        <w:rPr>
          <w:rFonts w:hint="eastAsia" w:ascii="仿宋_GB2312" w:hAnsi="Calibri" w:eastAsia="仿宋_GB2312" w:cs="Times New Roman"/>
          <w:sz w:val="32"/>
          <w:szCs w:val="32"/>
        </w:rPr>
        <w:t>2016无出国（境）经费预算,与2015年预算持平。</w:t>
      </w:r>
    </w:p>
    <w:p>
      <w:pPr>
        <w:widowControl/>
        <w:shd w:val="clear" w:color="auto" w:fill="FFFFFF"/>
        <w:spacing w:line="620" w:lineRule="atLeast"/>
        <w:ind w:firstLine="640"/>
        <w:jc w:val="left"/>
        <w:rPr>
          <w:rFonts w:cs="宋体" w:asciiTheme="majorEastAsia" w:hAnsiTheme="majorEastAsia" w:eastAsiaTheme="majorEastAsia"/>
          <w:kern w:val="0"/>
          <w:sz w:val="30"/>
          <w:szCs w:val="30"/>
        </w:rPr>
      </w:pPr>
      <w:r>
        <w:rPr>
          <w:rFonts w:hint="eastAsia" w:cs="宋体" w:asciiTheme="majorEastAsia" w:hAnsiTheme="majorEastAsia" w:eastAsiaTheme="majorEastAsia"/>
          <w:b/>
          <w:bCs/>
          <w:kern w:val="0"/>
          <w:sz w:val="30"/>
          <w:szCs w:val="30"/>
        </w:rPr>
        <w:t>（二）公务接待费</w:t>
      </w:r>
    </w:p>
    <w:p>
      <w:pPr>
        <w:widowControl/>
        <w:shd w:val="clear" w:color="auto" w:fill="FFFFFF"/>
        <w:spacing w:line="471" w:lineRule="atLeast"/>
        <w:ind w:firstLine="640" w:firstLineChars="200"/>
        <w:jc w:val="left"/>
        <w:rPr>
          <w:rFonts w:hint="eastAsia" w:ascii="仿宋_GB2312" w:hAnsi="Calibri" w:eastAsia="仿宋_GB2312" w:cs="Times New Roman"/>
          <w:sz w:val="32"/>
          <w:szCs w:val="32"/>
        </w:rPr>
      </w:pPr>
      <w:r>
        <w:rPr>
          <w:rFonts w:hint="eastAsia" w:ascii="仿宋_GB2312" w:hAnsi="Calibri" w:eastAsia="仿宋_GB2312" w:cs="Times New Roman"/>
          <w:sz w:val="32"/>
          <w:szCs w:val="32"/>
        </w:rPr>
        <w:t>2016年安排公务接待费预算0万元.较2015年预算下降100%。</w:t>
      </w:r>
    </w:p>
    <w:p>
      <w:pPr>
        <w:widowControl/>
        <w:shd w:val="clear" w:color="auto" w:fill="FFFFFF"/>
        <w:spacing w:line="579" w:lineRule="atLeast"/>
        <w:ind w:firstLine="640"/>
        <w:jc w:val="left"/>
        <w:rPr>
          <w:rFonts w:cs="宋体" w:asciiTheme="majorEastAsia" w:hAnsiTheme="majorEastAsia" w:eastAsiaTheme="majorEastAsia"/>
          <w:kern w:val="0"/>
          <w:sz w:val="30"/>
          <w:szCs w:val="30"/>
        </w:rPr>
      </w:pPr>
      <w:r>
        <w:rPr>
          <w:rFonts w:hint="eastAsia" w:cs="宋体" w:asciiTheme="majorEastAsia" w:hAnsiTheme="majorEastAsia" w:eastAsiaTheme="majorEastAsia"/>
          <w:b/>
          <w:bCs/>
          <w:kern w:val="0"/>
          <w:sz w:val="30"/>
          <w:szCs w:val="30"/>
        </w:rPr>
        <w:t>（三）公务用车购置及运行维护费</w:t>
      </w:r>
    </w:p>
    <w:p>
      <w:pPr>
        <w:widowControl/>
        <w:shd w:val="clear" w:color="auto" w:fill="FFFFFF"/>
        <w:spacing w:line="471" w:lineRule="atLeast"/>
        <w:ind w:firstLine="640" w:firstLineChars="200"/>
        <w:jc w:val="left"/>
        <w:rPr>
          <w:rFonts w:hint="eastAsia" w:ascii="仿宋_GB2312" w:hAnsi="Calibri" w:eastAsia="仿宋_GB2312" w:cs="Times New Roman"/>
          <w:sz w:val="32"/>
          <w:szCs w:val="32"/>
        </w:rPr>
      </w:pPr>
      <w:r>
        <w:rPr>
          <w:rFonts w:hint="eastAsia" w:ascii="仿宋_GB2312" w:hAnsi="Calibri" w:eastAsia="仿宋_GB2312" w:cs="Times New Roman"/>
          <w:sz w:val="32"/>
          <w:szCs w:val="32"/>
        </w:rPr>
        <w:t>学校未购置车辆,故无此项费用。</w:t>
      </w:r>
    </w:p>
    <w:p>
      <w:pPr>
        <w:pStyle w:val="8"/>
        <w:numPr>
          <w:ilvl w:val="0"/>
          <w:numId w:val="4"/>
        </w:numPr>
        <w:ind w:firstLineChars="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2016年，本部门没有此项机关运行经费安排</w:t>
      </w:r>
    </w:p>
    <w:p>
      <w:pPr>
        <w:rPr>
          <w:rFonts w:ascii="黑体" w:hAnsi="黑体" w:eastAsia="黑体" w:cs="黑体"/>
          <w:sz w:val="32"/>
          <w:szCs w:val="32"/>
        </w:rPr>
      </w:pPr>
      <w:r>
        <w:rPr>
          <w:rFonts w:hint="eastAsia" w:ascii="黑体" w:hAnsi="黑体" w:eastAsia="黑体" w:cs="黑体"/>
          <w:sz w:val="32"/>
          <w:szCs w:val="32"/>
        </w:rPr>
        <w:t xml:space="preserve"> 四、政府采购情况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2016年本部门没有此项政府采购安排</w:t>
      </w:r>
    </w:p>
    <w:p>
      <w:pPr>
        <w:rPr>
          <w:rFonts w:ascii="黑体" w:hAnsi="黑体" w:eastAsia="黑体" w:cs="黑体"/>
          <w:sz w:val="32"/>
          <w:szCs w:val="32"/>
        </w:rPr>
      </w:pPr>
      <w:r>
        <w:rPr>
          <w:rFonts w:hint="eastAsia" w:ascii="黑体" w:hAnsi="黑体" w:eastAsia="黑体" w:cs="黑体"/>
          <w:sz w:val="32"/>
          <w:szCs w:val="32"/>
        </w:rPr>
        <w:t xml:space="preserve">  五、国有资产占有使用情况</w:t>
      </w:r>
    </w:p>
    <w:p>
      <w:pPr>
        <w:ind w:firstLine="640"/>
        <w:rPr>
          <w:rFonts w:ascii="楷体_GB2312" w:hAnsi="楷体_GB2312" w:eastAsia="楷体_GB2312" w:cs="楷体_GB2312"/>
          <w:sz w:val="32"/>
          <w:szCs w:val="32"/>
        </w:rPr>
      </w:pPr>
      <w:r>
        <w:rPr>
          <w:rFonts w:hint="eastAsia" w:ascii="仿宋_GB2312" w:hAnsi="仿宋_GB2312" w:eastAsia="仿宋_GB2312" w:cs="仿宋_GB2312"/>
          <w:sz w:val="32"/>
          <w:szCs w:val="32"/>
        </w:rPr>
        <w:t>截至2016年1月1日，共有房屋1550平方米，其中：办公用房240平方米，其他1310平方米；（二）单价在20万元以上的设备0（台、套）；（三）车辆0辆。</w:t>
      </w:r>
    </w:p>
    <w:p>
      <w:pPr>
        <w:tabs>
          <w:tab w:val="left" w:pos="6090"/>
        </w:tabs>
        <w:ind w:firstLine="640"/>
        <w:rPr>
          <w:rFonts w:ascii="黑体" w:hAnsi="黑体" w:eastAsia="黑体" w:cs="黑体"/>
          <w:sz w:val="32"/>
          <w:szCs w:val="32"/>
        </w:rPr>
      </w:pPr>
      <w:r>
        <w:rPr>
          <w:rFonts w:hint="eastAsia" w:ascii="黑体" w:hAnsi="黑体" w:eastAsia="黑体" w:cs="黑体"/>
          <w:sz w:val="32"/>
          <w:szCs w:val="32"/>
        </w:rPr>
        <w:t>六、预算绩效信息公开情况</w:t>
      </w:r>
      <w:r>
        <w:rPr>
          <w:rFonts w:ascii="黑体" w:hAnsi="黑体" w:eastAsia="黑体" w:cs="黑体"/>
          <w:sz w:val="32"/>
          <w:szCs w:val="32"/>
        </w:rPr>
        <w:tab/>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2016年，本部门未开展预算绩效信息公开的有关工作。</w:t>
      </w:r>
    </w:p>
    <w:p>
      <w:pPr>
        <w:spacing w:line="288" w:lineRule="auto"/>
        <w:rPr>
          <w:rFonts w:hint="eastAsia" w:asciiTheme="minorEastAsia" w:hAnsiTheme="minorEastAsia"/>
          <w:sz w:val="32"/>
          <w:szCs w:val="32"/>
        </w:rPr>
      </w:pPr>
      <w:r>
        <w:rPr>
          <w:rFonts w:hint="eastAsia" w:asciiTheme="minorEastAsia" w:hAnsiTheme="minorEastAsia"/>
          <w:sz w:val="32"/>
          <w:szCs w:val="32"/>
        </w:rPr>
        <w:t xml:space="preserve">  </w:t>
      </w:r>
    </w:p>
    <w:p>
      <w:pPr>
        <w:spacing w:line="288" w:lineRule="auto"/>
        <w:rPr>
          <w:rFonts w:hint="eastAsia" w:asciiTheme="minorEastAsia" w:hAnsiTheme="minorEastAsia"/>
          <w:sz w:val="32"/>
          <w:szCs w:val="32"/>
        </w:rPr>
      </w:pPr>
      <w:r>
        <w:rPr>
          <w:rFonts w:hint="eastAsia" w:asciiTheme="minorEastAsia" w:hAnsiTheme="minorEastAsia"/>
          <w:sz w:val="32"/>
          <w:szCs w:val="32"/>
        </w:rPr>
        <w:br w:type="page"/>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numPr>
          <w:ilvl w:val="0"/>
          <w:numId w:val="5"/>
        </w:numPr>
        <w:spacing w:line="288" w:lineRule="auto"/>
        <w:ind w:firstLine="630" w:firstLineChars="196"/>
        <w:rPr>
          <w:rFonts w:hint="eastAsia" w:ascii="仿宋" w:hAnsi="仿宋" w:eastAsia="仿宋" w:cs="仿宋"/>
          <w:kern w:val="0"/>
          <w:sz w:val="30"/>
          <w:szCs w:val="30"/>
        </w:rPr>
      </w:pPr>
      <w:r>
        <w:rPr>
          <w:rFonts w:hint="eastAsia" w:ascii="仿宋" w:hAnsi="仿宋" w:eastAsia="仿宋" w:cs="仿宋"/>
          <w:b/>
          <w:sz w:val="32"/>
          <w:szCs w:val="32"/>
        </w:rPr>
        <w:t>财政拨款收入</w:t>
      </w:r>
      <w:r>
        <w:rPr>
          <w:rFonts w:hint="eastAsia" w:ascii="仿宋" w:hAnsi="仿宋" w:eastAsia="仿宋" w:cs="仿宋"/>
          <w:kern w:val="0"/>
          <w:sz w:val="30"/>
          <w:szCs w:val="30"/>
        </w:rPr>
        <w:t>：指财政当年拨付的资金事业收入。</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二、</w:t>
      </w:r>
      <w:r>
        <w:rPr>
          <w:rFonts w:hint="eastAsia" w:ascii="仿宋" w:hAnsi="仿宋" w:eastAsia="仿宋" w:cs="仿宋"/>
          <w:b/>
          <w:sz w:val="32"/>
          <w:szCs w:val="32"/>
        </w:rPr>
        <w:t>事业收入</w:t>
      </w:r>
      <w:r>
        <w:rPr>
          <w:rFonts w:hint="eastAsia" w:ascii="仿宋" w:hAnsi="仿宋" w:eastAsia="仿宋" w:cs="仿宋"/>
          <w:kern w:val="0"/>
          <w:sz w:val="30"/>
          <w:szCs w:val="30"/>
        </w:rPr>
        <w:t>：指事业单位开展专业业务活动及辅动所取得的收入。</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三、</w:t>
      </w:r>
      <w:r>
        <w:rPr>
          <w:rFonts w:hint="eastAsia" w:ascii="仿宋" w:hAnsi="仿宋" w:eastAsia="仿宋" w:cs="仿宋"/>
          <w:b/>
          <w:sz w:val="32"/>
          <w:szCs w:val="32"/>
        </w:rPr>
        <w:t>经营收入</w:t>
      </w:r>
      <w:r>
        <w:rPr>
          <w:rFonts w:hint="eastAsia" w:ascii="仿宋" w:hAnsi="仿宋" w:eastAsia="仿宋" w:cs="仿宋"/>
          <w:kern w:val="0"/>
          <w:sz w:val="30"/>
          <w:szCs w:val="30"/>
        </w:rPr>
        <w:t>：指事业单位在专业业务活动及其辅助活动之外开展非独立核算经营活动取得的收入。</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四、</w:t>
      </w:r>
      <w:r>
        <w:rPr>
          <w:rFonts w:hint="eastAsia" w:ascii="仿宋" w:hAnsi="仿宋" w:eastAsia="仿宋" w:cs="仿宋"/>
          <w:b/>
          <w:sz w:val="32"/>
          <w:szCs w:val="32"/>
        </w:rPr>
        <w:t>其他收入</w:t>
      </w:r>
      <w:r>
        <w:rPr>
          <w:rFonts w:hint="eastAsia" w:ascii="仿宋" w:hAnsi="仿宋" w:eastAsia="仿宋" w:cs="仿宋"/>
          <w:kern w:val="0"/>
          <w:sz w:val="30"/>
          <w:szCs w:val="30"/>
        </w:rPr>
        <w:t>：指除上述“财政拨款收入”、“事业收入”、“经营收入”等以外的收入。主要是非本级财政拨款、存款利息收入、事业单位固定资产出租收入等。</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五、</w:t>
      </w:r>
      <w:r>
        <w:rPr>
          <w:rFonts w:hint="eastAsia" w:ascii="仿宋" w:hAnsi="仿宋" w:eastAsia="仿宋" w:cs="仿宋"/>
          <w:b/>
          <w:sz w:val="32"/>
          <w:szCs w:val="32"/>
        </w:rPr>
        <w:t>用事业基金弥补收支差额</w:t>
      </w:r>
      <w:r>
        <w:rPr>
          <w:rFonts w:hint="eastAsia" w:ascii="仿宋" w:hAnsi="仿宋" w:eastAsia="仿宋" w:cs="仿宋"/>
          <w:kern w:val="0"/>
          <w:sz w:val="30"/>
          <w:szCs w:val="30"/>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六、</w:t>
      </w:r>
      <w:r>
        <w:rPr>
          <w:rFonts w:hint="eastAsia" w:ascii="仿宋" w:hAnsi="仿宋" w:eastAsia="仿宋" w:cs="仿宋"/>
          <w:b/>
          <w:sz w:val="32"/>
          <w:szCs w:val="32"/>
        </w:rPr>
        <w:t>年初结转和结余</w:t>
      </w:r>
      <w:r>
        <w:rPr>
          <w:rFonts w:hint="eastAsia" w:ascii="仿宋" w:hAnsi="仿宋" w:eastAsia="仿宋" w:cs="仿宋"/>
          <w:kern w:val="0"/>
          <w:sz w:val="30"/>
          <w:szCs w:val="30"/>
        </w:rPr>
        <w:t>：指以前年度尚未完成、结转到本年按有关规定继续使用的资金。</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七、</w:t>
      </w:r>
      <w:r>
        <w:rPr>
          <w:rFonts w:hint="eastAsia" w:ascii="仿宋" w:hAnsi="仿宋" w:eastAsia="仿宋" w:cs="仿宋"/>
          <w:b/>
          <w:sz w:val="32"/>
          <w:szCs w:val="32"/>
        </w:rPr>
        <w:t>结余分配</w:t>
      </w:r>
      <w:r>
        <w:rPr>
          <w:rFonts w:hint="eastAsia" w:ascii="仿宋" w:hAnsi="仿宋" w:eastAsia="仿宋" w:cs="仿宋"/>
          <w:kern w:val="0"/>
          <w:sz w:val="30"/>
          <w:szCs w:val="30"/>
        </w:rPr>
        <w:t>：指事业事位按规定提取的职工福利基金、事业基金和缴纳的所得税，以及建设单位按规定应交回的基本建设竣工项目结余资金。</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八、</w:t>
      </w:r>
      <w:r>
        <w:rPr>
          <w:rFonts w:hint="eastAsia" w:ascii="仿宋" w:hAnsi="仿宋" w:eastAsia="仿宋" w:cs="仿宋"/>
          <w:b/>
          <w:sz w:val="32"/>
          <w:szCs w:val="32"/>
        </w:rPr>
        <w:t>年末结转和结余</w:t>
      </w:r>
      <w:r>
        <w:rPr>
          <w:rFonts w:hint="eastAsia" w:ascii="仿宋" w:hAnsi="仿宋" w:eastAsia="仿宋" w:cs="仿宋"/>
          <w:kern w:val="0"/>
          <w:sz w:val="30"/>
          <w:szCs w:val="30"/>
        </w:rPr>
        <w:t>：指本年度或以前年度预算安排、因客观条件发生变化无法按原计划实施，需要延迟到以后年度按有关规定继续使用的资金。</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九</w:t>
      </w:r>
      <w:r>
        <w:rPr>
          <w:rFonts w:hint="eastAsia" w:ascii="仿宋" w:hAnsi="仿宋" w:eastAsia="仿宋" w:cs="仿宋"/>
          <w:b/>
          <w:sz w:val="32"/>
          <w:szCs w:val="32"/>
        </w:rPr>
        <w:t>、基本支出</w:t>
      </w:r>
      <w:r>
        <w:rPr>
          <w:rFonts w:hint="eastAsia" w:ascii="仿宋" w:hAnsi="仿宋" w:eastAsia="仿宋" w:cs="仿宋"/>
          <w:kern w:val="0"/>
          <w:sz w:val="30"/>
          <w:szCs w:val="30"/>
        </w:rPr>
        <w:t>：指为保障机构正常运转、完成日常工作任务面发生的人员支出和公用支出。</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十、</w:t>
      </w:r>
      <w:r>
        <w:rPr>
          <w:rFonts w:hint="eastAsia" w:ascii="仿宋" w:hAnsi="仿宋" w:eastAsia="仿宋" w:cs="仿宋"/>
          <w:b/>
          <w:sz w:val="32"/>
          <w:szCs w:val="32"/>
        </w:rPr>
        <w:t>项目支出</w:t>
      </w:r>
      <w:r>
        <w:rPr>
          <w:rFonts w:hint="eastAsia" w:ascii="仿宋" w:hAnsi="仿宋" w:eastAsia="仿宋" w:cs="仿宋"/>
          <w:kern w:val="0"/>
          <w:sz w:val="30"/>
          <w:szCs w:val="30"/>
        </w:rPr>
        <w:t>：指在基本支出这外为完成特定行政任务和事业发展目标所发生的支出。</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十一、</w:t>
      </w:r>
      <w:r>
        <w:rPr>
          <w:rFonts w:hint="eastAsia" w:ascii="仿宋" w:hAnsi="仿宋" w:eastAsia="仿宋" w:cs="仿宋"/>
          <w:b/>
          <w:sz w:val="32"/>
          <w:szCs w:val="32"/>
        </w:rPr>
        <w:t>经营支出</w:t>
      </w:r>
      <w:r>
        <w:rPr>
          <w:rFonts w:hint="eastAsia" w:ascii="仿宋" w:hAnsi="仿宋" w:eastAsia="仿宋" w:cs="仿宋"/>
          <w:kern w:val="0"/>
          <w:sz w:val="30"/>
          <w:szCs w:val="30"/>
        </w:rPr>
        <w:t>：指事业单位在专业业务活动及其辅助活动之外开展非独立核算经营活动所发生的支出。</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十二、</w:t>
      </w:r>
      <w:r>
        <w:rPr>
          <w:rFonts w:hint="eastAsia" w:ascii="仿宋" w:hAnsi="仿宋" w:eastAsia="仿宋" w:cs="仿宋"/>
          <w:b/>
          <w:sz w:val="32"/>
          <w:szCs w:val="32"/>
        </w:rPr>
        <w:t>“三公”经费</w:t>
      </w:r>
      <w:r>
        <w:rPr>
          <w:rFonts w:hint="eastAsia" w:ascii="仿宋" w:hAnsi="仿宋" w:eastAsia="仿宋" w:cs="仿宋"/>
          <w:kern w:val="0"/>
          <w:sz w:val="30"/>
          <w:szCs w:val="30"/>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十三、</w:t>
      </w:r>
      <w:r>
        <w:rPr>
          <w:rFonts w:hint="eastAsia" w:ascii="仿宋" w:hAnsi="仿宋" w:eastAsia="仿宋" w:cs="仿宋"/>
          <w:b/>
          <w:sz w:val="32"/>
          <w:szCs w:val="32"/>
        </w:rPr>
        <w:t>机关运行经费</w:t>
      </w:r>
      <w:r>
        <w:rPr>
          <w:rFonts w:hint="eastAsia" w:ascii="仿宋" w:hAnsi="仿宋" w:eastAsia="仿宋" w:cs="仿宋"/>
          <w:kern w:val="0"/>
          <w:sz w:val="30"/>
          <w:szCs w:val="30"/>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Pr>
        <w:spacing w:line="288" w:lineRule="auto"/>
        <w:ind w:left="1" w:firstLine="588" w:firstLineChars="196"/>
        <w:rPr>
          <w:rFonts w:hint="eastAsia" w:cs="宋体" w:asciiTheme="minorEastAsia" w:hAnsiTheme="minorEastAsia"/>
          <w:kern w:val="0"/>
          <w:sz w:val="30"/>
          <w:szCs w:val="30"/>
        </w:rPr>
      </w:pPr>
    </w:p>
    <w:p>
      <w:pPr>
        <w:spacing w:line="288" w:lineRule="auto"/>
        <w:rPr>
          <w:rFonts w:hint="eastAsia" w:cs="宋体" w:asciiTheme="minorEastAsia" w:hAnsiTheme="minorEastAsia"/>
          <w:kern w:val="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42CF2"/>
    <w:multiLevelType w:val="multilevel"/>
    <w:tmpl w:val="2C142CF2"/>
    <w:lvl w:ilvl="0" w:tentative="0">
      <w:start w:val="3"/>
      <w:numFmt w:val="japaneseCounting"/>
      <w:lvlText w:val="%1、"/>
      <w:lvlJc w:val="left"/>
      <w:pPr>
        <w:ind w:left="862" w:hanging="720"/>
      </w:pPr>
      <w:rPr>
        <w:rFonts w:hint="default"/>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
    <w:nsid w:val="5A5F2250"/>
    <w:multiLevelType w:val="singleLevel"/>
    <w:tmpl w:val="5A5F2250"/>
    <w:lvl w:ilvl="0" w:tentative="0">
      <w:start w:val="1"/>
      <w:numFmt w:val="chineseCounting"/>
      <w:suff w:val="nothing"/>
      <w:lvlText w:val="%1、"/>
      <w:lvlJc w:val="left"/>
    </w:lvl>
  </w:abstractNum>
  <w:abstractNum w:abstractNumId="2">
    <w:nsid w:val="5A5F2384"/>
    <w:multiLevelType w:val="singleLevel"/>
    <w:tmpl w:val="5A5F2384"/>
    <w:lvl w:ilvl="0" w:tentative="0">
      <w:start w:val="1"/>
      <w:numFmt w:val="chineseCounting"/>
      <w:suff w:val="nothing"/>
      <w:lvlText w:val="%1、"/>
      <w:lvlJc w:val="left"/>
    </w:lvl>
  </w:abstractNum>
  <w:abstractNum w:abstractNumId="3">
    <w:nsid w:val="5A5F50C1"/>
    <w:multiLevelType w:val="singleLevel"/>
    <w:tmpl w:val="5A5F50C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537B2"/>
    <w:rsid w:val="000F6AD0"/>
    <w:rsid w:val="001B3801"/>
    <w:rsid w:val="001D7A06"/>
    <w:rsid w:val="00200FB7"/>
    <w:rsid w:val="00307425"/>
    <w:rsid w:val="00355FE2"/>
    <w:rsid w:val="00407F1E"/>
    <w:rsid w:val="0047440C"/>
    <w:rsid w:val="004E6FA0"/>
    <w:rsid w:val="004F709F"/>
    <w:rsid w:val="00561242"/>
    <w:rsid w:val="00587FA6"/>
    <w:rsid w:val="005A7CDD"/>
    <w:rsid w:val="00613020"/>
    <w:rsid w:val="00620403"/>
    <w:rsid w:val="00640907"/>
    <w:rsid w:val="00652447"/>
    <w:rsid w:val="00674D78"/>
    <w:rsid w:val="00686DCE"/>
    <w:rsid w:val="00784BDA"/>
    <w:rsid w:val="00837D72"/>
    <w:rsid w:val="00883916"/>
    <w:rsid w:val="008E57C0"/>
    <w:rsid w:val="008F425B"/>
    <w:rsid w:val="00983A8E"/>
    <w:rsid w:val="009E0B79"/>
    <w:rsid w:val="009F6B9D"/>
    <w:rsid w:val="00A17250"/>
    <w:rsid w:val="00A538BA"/>
    <w:rsid w:val="00A950F8"/>
    <w:rsid w:val="00AA28AD"/>
    <w:rsid w:val="00AD73FC"/>
    <w:rsid w:val="00B15871"/>
    <w:rsid w:val="00B61FBA"/>
    <w:rsid w:val="00CB23AB"/>
    <w:rsid w:val="00CC74DE"/>
    <w:rsid w:val="00CE599A"/>
    <w:rsid w:val="00D12A69"/>
    <w:rsid w:val="00E0150E"/>
    <w:rsid w:val="00EE4230"/>
    <w:rsid w:val="00F3301F"/>
    <w:rsid w:val="00FC1BB0"/>
    <w:rsid w:val="00FD0069"/>
    <w:rsid w:val="081D07C1"/>
    <w:rsid w:val="2F300128"/>
    <w:rsid w:val="40A24BB1"/>
    <w:rsid w:val="57DC62E6"/>
    <w:rsid w:val="658E0CA7"/>
    <w:rsid w:val="6D535020"/>
    <w:rsid w:val="6E991D53"/>
    <w:rsid w:val="7FE561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qFormat/>
    <w:uiPriority w:val="0"/>
    <w:rPr>
      <w:kern w:val="2"/>
      <w:sz w:val="18"/>
      <w:szCs w:val="18"/>
    </w:rPr>
  </w:style>
  <w:style w:type="paragraph" w:styleId="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8</Pages>
  <Words>374</Words>
  <Characters>2137</Characters>
  <Lines>17</Lines>
  <Paragraphs>5</Paragraphs>
  <TotalTime>2</TotalTime>
  <ScaleCrop>false</ScaleCrop>
  <LinksUpToDate>false</LinksUpToDate>
  <CharactersWithSpaces>2506</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cp:lastPrinted>2018-04-16T01:20:00Z</cp:lastPrinted>
  <dcterms:modified xsi:type="dcterms:W3CDTF">2018-05-23T03:15:36Z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