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方正小标宋简体"/>
          <w:sz w:val="52"/>
          <w:szCs w:val="52"/>
        </w:rPr>
      </w:pPr>
      <w:r>
        <w:rPr>
          <w:rFonts w:ascii="黑体" w:hAnsi="黑体" w:eastAsia="黑体" w:cs="方正小标宋简体"/>
          <w:sz w:val="52"/>
          <w:szCs w:val="52"/>
        </w:rPr>
        <w:t>2016</w:t>
      </w:r>
      <w:r>
        <w:rPr>
          <w:rFonts w:hint="eastAsia" w:ascii="黑体" w:hAnsi="黑体" w:eastAsia="黑体" w:cs="方正小标宋简体"/>
          <w:sz w:val="52"/>
          <w:szCs w:val="52"/>
        </w:rPr>
        <w:t>年</w:t>
      </w:r>
    </w:p>
    <w:p>
      <w:pPr>
        <w:jc w:val="center"/>
        <w:rPr>
          <w:rFonts w:ascii="黑体" w:hAnsi="黑体" w:eastAsia="黑体" w:cs="方正小标宋简体"/>
          <w:sz w:val="52"/>
          <w:szCs w:val="52"/>
        </w:rPr>
      </w:pPr>
      <w:r>
        <w:rPr>
          <w:rFonts w:hint="eastAsia" w:ascii="黑体" w:hAnsi="黑体" w:eastAsia="黑体" w:cs="方正小标宋简体"/>
          <w:sz w:val="52"/>
          <w:szCs w:val="52"/>
        </w:rPr>
        <w:t>蕉岭县友邦小学</w:t>
      </w:r>
    </w:p>
    <w:p>
      <w:pPr>
        <w:jc w:val="center"/>
        <w:rPr>
          <w:rFonts w:ascii="黑体" w:hAnsi="黑体" w:eastAsia="黑体" w:cs="方正小标宋简体"/>
          <w:sz w:val="52"/>
          <w:szCs w:val="52"/>
        </w:rPr>
      </w:pPr>
      <w:r>
        <w:rPr>
          <w:rFonts w:hint="eastAsia" w:ascii="黑体" w:hAnsi="黑体" w:eastAsia="黑体" w:cs="方正小标宋简体"/>
          <w:sz w:val="52"/>
          <w:szCs w:val="5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方正小标宋简体"/>
          <w:sz w:val="44"/>
          <w:szCs w:val="44"/>
        </w:rPr>
      </w:pPr>
      <w:r>
        <w:rPr>
          <w:rFonts w:ascii="方正小标宋简体" w:hAnsi="方正小标宋简体" w:eastAsia="方正小标宋简体" w:cs="方正小标宋简体"/>
          <w:sz w:val="84"/>
          <w:szCs w:val="84"/>
        </w:rPr>
        <w:br w:type="page"/>
      </w:r>
      <w:r>
        <w:rPr>
          <w:rFonts w:hint="eastAsia" w:ascii="黑体" w:hAnsi="黑体" w:eastAsia="黑体" w:cs="方正小标宋简体"/>
          <w:sz w:val="44"/>
          <w:szCs w:val="44"/>
        </w:rPr>
        <w:t>目</w:t>
      </w:r>
      <w:r>
        <w:rPr>
          <w:rFonts w:ascii="黑体" w:hAnsi="黑体" w:eastAsia="黑体" w:cs="方正小标宋简体"/>
          <w:sz w:val="44"/>
          <w:szCs w:val="44"/>
        </w:rPr>
        <w:t xml:space="preserve"> </w:t>
      </w:r>
      <w:r>
        <w:rPr>
          <w:rFonts w:hint="eastAsia" w:ascii="黑体" w:hAnsi="黑体" w:eastAsia="黑体" w:cs="方正小标宋简体"/>
          <w:sz w:val="44"/>
          <w:szCs w:val="44"/>
        </w:rPr>
        <w:t>录</w:t>
      </w:r>
    </w:p>
    <w:p>
      <w:pPr>
        <w:jc w:val="left"/>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蕉岭县友邦小学概况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left"/>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left"/>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left"/>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黑体" w:hAnsi="黑体" w:eastAsia="黑体" w:cs="方正小标宋简体"/>
          <w:sz w:val="44"/>
          <w:szCs w:val="44"/>
        </w:rPr>
      </w:pPr>
      <w:r>
        <w:rPr>
          <w:rFonts w:hint="eastAsia" w:ascii="黑体" w:hAnsi="黑体" w:eastAsia="黑体" w:cs="方正小标宋简体"/>
          <w:sz w:val="44"/>
          <w:szCs w:val="44"/>
        </w:rPr>
        <w:br w:type="page"/>
      </w:r>
      <w:r>
        <w:rPr>
          <w:rFonts w:hint="eastAsia" w:ascii="黑体" w:hAnsi="黑体" w:eastAsia="黑体" w:cs="方正小标宋简体"/>
          <w:sz w:val="44"/>
          <w:szCs w:val="44"/>
        </w:rPr>
        <w:t>第一部分</w:t>
      </w:r>
      <w:r>
        <w:rPr>
          <w:rFonts w:ascii="黑体" w:hAnsi="黑体" w:eastAsia="黑体" w:cs="方正小标宋简体"/>
          <w:sz w:val="44"/>
          <w:szCs w:val="44"/>
        </w:rPr>
        <w:t xml:space="preserve">  </w:t>
      </w:r>
      <w:r>
        <w:rPr>
          <w:rFonts w:hint="eastAsia" w:ascii="黑体" w:hAnsi="黑体" w:eastAsia="黑体" w:cs="方正小标宋简体"/>
          <w:sz w:val="44"/>
          <w:szCs w:val="44"/>
        </w:rPr>
        <w:t>蕉岭县友邦小学概况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rPr>
          <w:rFonts w:ascii="仿宋_GB2312" w:eastAsia="仿宋_GB2312"/>
          <w:sz w:val="32"/>
          <w:szCs w:val="32"/>
        </w:rPr>
      </w:pPr>
      <w:r>
        <w:rPr>
          <w:rFonts w:hint="eastAsia" w:ascii="仿宋_GB2312" w:eastAsia="仿宋_GB2312"/>
          <w:sz w:val="32"/>
          <w:szCs w:val="32"/>
        </w:rPr>
        <w:t>我校是一间独立法人的县级直属完全小学，其主要职责：</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贯彻执行党和国家的教育方针、政策、法律和法规，坚持依法治教，依法办学。</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根据区政府制定的教育事业发展规划，制定本校教育发展规划和计划并抓好组织实施和落实工作。</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按照管理权限，负责对本学校的教师进行管理。</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执行国家课程（课时）计划，开齐课程，开足课时，全面推进素质教育。</w:t>
      </w:r>
    </w:p>
    <w:p>
      <w:pPr>
        <w:widowControl/>
        <w:shd w:val="clear" w:color="auto" w:fill="FFFFFF"/>
        <w:spacing w:line="471" w:lineRule="atLeast"/>
        <w:ind w:firstLine="640"/>
        <w:jc w:val="lef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负责对学校教育和教学工作的业务指导、检查、评价，提高教育教学质量。</w:t>
      </w:r>
    </w:p>
    <w:p>
      <w:pPr>
        <w:ind w:firstLine="640"/>
        <w:rPr>
          <w:rFonts w:ascii="仿宋_GB2312" w:hAnsi="仿宋_GB2312" w:eastAsia="仿宋_GB2312" w:cs="仿宋_GB2312"/>
          <w:sz w:val="32"/>
          <w:szCs w:val="32"/>
        </w:rPr>
      </w:pPr>
      <w:r>
        <w:rPr>
          <w:rFonts w:ascii="仿宋_GB2312" w:eastAsia="仿宋_GB2312"/>
          <w:sz w:val="32"/>
          <w:szCs w:val="32"/>
        </w:rPr>
        <w:t>6.</w:t>
      </w:r>
      <w:r>
        <w:rPr>
          <w:rFonts w:hint="eastAsia" w:ascii="仿宋_GB2312" w:eastAsia="仿宋_GB2312"/>
          <w:sz w:val="32"/>
          <w:szCs w:val="32"/>
        </w:rPr>
        <w:t>开展教育教学改革，促进学校发展。</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本部门预算为本级预算，并无下属单位。</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本部门内设</w:t>
      </w:r>
      <w:r>
        <w:rPr>
          <w:rFonts w:hint="eastAsia" w:ascii="仿宋_GB2312" w:eastAsia="仿宋_GB2312"/>
          <w:sz w:val="32"/>
          <w:szCs w:val="32"/>
        </w:rPr>
        <w:t>内设有教务处、总务处等，现实有在职人员</w:t>
      </w:r>
      <w:r>
        <w:rPr>
          <w:rFonts w:ascii="仿宋_GB2312" w:eastAsia="仿宋_GB2312"/>
          <w:sz w:val="32"/>
          <w:szCs w:val="32"/>
        </w:rPr>
        <w:t>129</w:t>
      </w:r>
      <w:r>
        <w:rPr>
          <w:rFonts w:hint="eastAsia" w:ascii="仿宋_GB2312" w:eastAsia="仿宋_GB2312"/>
          <w:sz w:val="32"/>
          <w:szCs w:val="32"/>
        </w:rPr>
        <w:t>人、退休人员</w:t>
      </w:r>
      <w:r>
        <w:rPr>
          <w:rFonts w:ascii="仿宋_GB2312" w:eastAsia="仿宋_GB2312"/>
          <w:sz w:val="32"/>
          <w:szCs w:val="32"/>
        </w:rPr>
        <w:t>122</w:t>
      </w:r>
      <w:r>
        <w:rPr>
          <w:rFonts w:hint="eastAsia" w:ascii="仿宋_GB2312" w:eastAsia="仿宋_GB2312"/>
          <w:sz w:val="32"/>
          <w:szCs w:val="32"/>
        </w:rPr>
        <w:t>人</w:t>
      </w:r>
      <w:r>
        <w:rPr>
          <w:rFonts w:hint="eastAsia" w:ascii="仿宋_GB2312" w:hAnsi="仿宋_GB2312" w:eastAsia="仿宋_GB2312" w:cs="仿宋_GB2312"/>
          <w:sz w:val="32"/>
          <w:szCs w:val="32"/>
        </w:rPr>
        <w:t>。</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黑体" w:hAnsi="黑体" w:eastAsia="黑体" w:cs="方正小标宋简体"/>
          <w:sz w:val="44"/>
          <w:szCs w:val="44"/>
        </w:rPr>
      </w:pPr>
      <w:r>
        <w:rPr>
          <w:rFonts w:hint="eastAsia" w:ascii="黑体" w:hAnsi="黑体" w:eastAsia="黑体" w:cs="方正小标宋简体"/>
          <w:sz w:val="44"/>
          <w:szCs w:val="44"/>
        </w:rPr>
        <w:t>第二部分</w:t>
      </w:r>
      <w:r>
        <w:rPr>
          <w:rFonts w:ascii="黑体" w:hAnsi="黑体" w:eastAsia="黑体" w:cs="方正小标宋简体"/>
          <w:sz w:val="44"/>
          <w:szCs w:val="44"/>
        </w:rPr>
        <w:t xml:space="preserve">  2016</w:t>
      </w:r>
      <w:r>
        <w:rPr>
          <w:rFonts w:hint="eastAsia" w:ascii="黑体" w:hAnsi="黑体" w:eastAsia="黑体" w:cs="方正小标宋简体"/>
          <w:sz w:val="44"/>
          <w:szCs w:val="44"/>
        </w:rPr>
        <w:t>年部门预算表</w:t>
      </w:r>
    </w:p>
    <w:p>
      <w:pPr>
        <w:jc w:val="center"/>
        <w:rPr>
          <w:rFonts w:ascii="黑体" w:hAnsi="黑体" w:eastAsia="黑体" w:cs="方正小标宋简体"/>
          <w:sz w:val="44"/>
          <w:szCs w:val="44"/>
        </w:rPr>
      </w:pPr>
      <w:r>
        <w:rPr>
          <w:rFonts w:hint="eastAsia" w:ascii="黑体" w:hAnsi="黑体" w:eastAsia="黑体" w:cs="方正小标宋简体"/>
          <w:sz w:val="44"/>
          <w:szCs w:val="44"/>
        </w:rPr>
        <w:t>（详见附表）</w:t>
      </w:r>
    </w:p>
    <w:p>
      <w:pPr>
        <w:jc w:val="center"/>
        <w:rPr>
          <w:rFonts w:ascii="黑体" w:hAnsi="黑体" w:eastAsia="黑体"/>
        </w:rPr>
      </w:pPr>
    </w:p>
    <w:p>
      <w:pPr>
        <w:numPr>
          <w:ilvl w:val="0"/>
          <w:numId w:val="5"/>
        </w:numPr>
        <w:jc w:val="center"/>
        <w:rPr>
          <w:rFonts w:hint="eastAsia" w:ascii="黑体" w:hAnsi="黑体" w:eastAsia="黑体" w:cs="方正小标宋简体"/>
          <w:sz w:val="44"/>
          <w:szCs w:val="44"/>
        </w:rPr>
      </w:pPr>
      <w:r>
        <w:rPr>
          <w:rFonts w:hint="eastAsia" w:ascii="黑体" w:hAnsi="黑体" w:eastAsia="黑体" w:cs="方正小标宋简体"/>
          <w:sz w:val="44"/>
          <w:szCs w:val="44"/>
        </w:rPr>
        <w:br w:type="page"/>
      </w:r>
      <w:r>
        <w:rPr>
          <w:rFonts w:ascii="黑体" w:hAnsi="黑体" w:eastAsia="黑体" w:cs="方正小标宋简体"/>
          <w:sz w:val="44"/>
          <w:szCs w:val="44"/>
        </w:rPr>
        <w:t xml:space="preserve"> 2016</w:t>
      </w:r>
      <w:r>
        <w:rPr>
          <w:rFonts w:hint="eastAsia" w:ascii="黑体" w:hAnsi="黑体" w:eastAsia="黑体" w:cs="方正小标宋简体"/>
          <w:sz w:val="44"/>
          <w:szCs w:val="44"/>
        </w:rPr>
        <w:t>年部门预算情况说明</w:t>
      </w:r>
    </w:p>
    <w:p>
      <w:pPr>
        <w:numPr>
          <w:numId w:val="0"/>
        </w:numPr>
        <w:jc w:val="both"/>
        <w:rPr>
          <w:rFonts w:hint="eastAsia" w:ascii="黑体" w:hAnsi="黑体" w:eastAsia="黑体" w:cs="方正小标宋简体"/>
          <w:sz w:val="44"/>
          <w:szCs w:val="44"/>
        </w:rPr>
      </w:pPr>
      <w:bookmarkStart w:id="0" w:name="_GoBack"/>
      <w:bookmarkEnd w:id="0"/>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1238.94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471.6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61.46%</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；支出预算</w:t>
      </w:r>
      <w:r>
        <w:rPr>
          <w:rFonts w:ascii="仿宋_GB2312" w:hAnsi="仿宋_GB2312" w:eastAsia="仿宋_GB2312" w:cs="仿宋_GB2312"/>
          <w:sz w:val="32"/>
          <w:szCs w:val="32"/>
        </w:rPr>
        <w:t>1238.94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471.6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61.46%</w:t>
      </w:r>
      <w:r>
        <w:rPr>
          <w:rFonts w:hint="eastAsia" w:ascii="仿宋_GB2312" w:hAnsi="仿宋_GB2312" w:eastAsia="仿宋_GB2312" w:cs="仿宋_GB2312"/>
          <w:sz w:val="32"/>
          <w:szCs w:val="32"/>
        </w:rPr>
        <w:t>，主要原因是</w:t>
      </w:r>
      <w:r>
        <w:rPr>
          <w:rFonts w:hint="eastAsia" w:ascii="仿宋_GB2312" w:eastAsia="仿宋_GB2312"/>
          <w:sz w:val="32"/>
          <w:szCs w:val="32"/>
        </w:rPr>
        <w:t>生均经费增加、教职工工资提高等</w:t>
      </w:r>
      <w:r>
        <w:rPr>
          <w:rFonts w:hint="eastAsia" w:ascii="仿宋_GB2312" w:hAnsi="仿宋_GB2312" w:eastAsia="仿宋_GB2312" w:cs="仿宋_GB2312"/>
          <w:sz w:val="32"/>
          <w:szCs w:val="32"/>
        </w:rPr>
        <w:t>。</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年本部门未安排“三公”经费预算。</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年本部门无机关运行经费安排。</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年本部门无政府采购经费安排。</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w:t>
      </w:r>
      <w:r>
        <w:rPr>
          <w:rFonts w:hint="eastAsia" w:ascii="仿宋_GB2312" w:eastAsia="仿宋_GB2312"/>
          <w:sz w:val="32"/>
          <w:szCs w:val="32"/>
        </w:rPr>
        <w:t>我校无车辆；无单位价值</w:t>
      </w:r>
      <w:r>
        <w:rPr>
          <w:rFonts w:ascii="仿宋_GB2312" w:eastAsia="仿宋_GB2312"/>
          <w:sz w:val="32"/>
          <w:szCs w:val="32"/>
        </w:rPr>
        <w:t>50</w:t>
      </w:r>
      <w:r>
        <w:rPr>
          <w:rFonts w:hint="eastAsia" w:ascii="仿宋_GB2312" w:eastAsia="仿宋_GB2312"/>
          <w:sz w:val="32"/>
          <w:szCs w:val="32"/>
        </w:rPr>
        <w:t>万元以上通用设备，无单价</w:t>
      </w:r>
      <w:r>
        <w:rPr>
          <w:rFonts w:ascii="仿宋_GB2312" w:eastAsia="仿宋_GB2312"/>
          <w:sz w:val="32"/>
          <w:szCs w:val="32"/>
        </w:rPr>
        <w:t>100</w:t>
      </w:r>
      <w:r>
        <w:rPr>
          <w:rFonts w:hint="eastAsia" w:ascii="仿宋_GB2312" w:eastAsia="仿宋_GB2312"/>
          <w:sz w:val="32"/>
          <w:szCs w:val="32"/>
        </w:rPr>
        <w:t>万元以上专用设备。</w:t>
      </w:r>
    </w:p>
    <w:p>
      <w:pPr>
        <w:numPr>
          <w:ilvl w:val="0"/>
          <w:numId w:val="6"/>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p>
    <w:p>
      <w:pPr>
        <w:jc w:val="center"/>
        <w:rPr>
          <w:rFonts w:ascii="黑体" w:hAnsi="黑体" w:eastAsia="黑体" w:cs="方正小标宋简体"/>
          <w:sz w:val="44"/>
          <w:szCs w:val="44"/>
        </w:rPr>
      </w:pPr>
      <w:r>
        <w:rPr>
          <w:rFonts w:hint="eastAsia" w:ascii="黑体" w:hAnsi="黑体" w:eastAsia="黑体" w:cs="方正小标宋简体"/>
          <w:sz w:val="44"/>
          <w:szCs w:val="44"/>
        </w:rPr>
        <w:br w:type="page"/>
      </w:r>
      <w:r>
        <w:rPr>
          <w:rFonts w:hint="eastAsia" w:ascii="黑体" w:hAnsi="黑体" w:eastAsia="黑体" w:cs="方正小标宋简体"/>
          <w:sz w:val="44"/>
          <w:szCs w:val="44"/>
        </w:rPr>
        <w:t>第四部分</w:t>
      </w:r>
      <w:r>
        <w:rPr>
          <w:rFonts w:ascii="黑体" w:hAnsi="黑体" w:eastAsia="黑体" w:cs="方正小标宋简体"/>
          <w:sz w:val="44"/>
          <w:szCs w:val="44"/>
        </w:rPr>
        <w:t xml:space="preserve">  </w:t>
      </w:r>
      <w:r>
        <w:rPr>
          <w:rFonts w:hint="eastAsia" w:ascii="黑体" w:hAnsi="黑体" w:eastAsia="黑体" w:cs="方正小标宋简体"/>
          <w:sz w:val="44"/>
          <w:szCs w:val="44"/>
        </w:rPr>
        <w:t>名词解释</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一、财政拨款收入：指省财政当年拨付的资金。</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二、教育（类）普通教育（款）小学教育（项）：指用</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于义务教育阶段学校（小学）正常运行、开展日常工作的基本支出等。</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三、社会保障和就业（类）行政事业单位离退休（款）事业单位离退休人员（项）：指事业单位离退休人员的支出。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四、基本支出：指为保障机构正常运转、完成日常工作任务而发生的人员支出和公用支出。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五、项目支出：指在基本支出之外为完成特定行政任务和事业发展目标所发生的支出。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三公”经费：纳入财政预决算管理的“三公”经费，是指财政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七、机关运行经费：为保障行政单位（含参照公务员法管理的事业单位）运行用于购买货物和服务的各项资金，包括办公及印刷费、邮电费、差旅费、会议费、福利费、日常</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维修费、专用材料及一般设备购置费、办公用房水电费、办公用房物业管理费、公务用车运行维护费以及其他费用。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269E7"/>
    <w:multiLevelType w:val="singleLevel"/>
    <w:tmpl w:val="53A269E7"/>
    <w:lvl w:ilvl="0" w:tentative="0">
      <w:start w:val="3"/>
      <w:numFmt w:val="chineseCounting"/>
      <w:suff w:val="space"/>
      <w:lvlText w:val="第%1部分"/>
      <w:lvlJc w:val="left"/>
      <w:rPr>
        <w:rFonts w:hint="eastAsia"/>
      </w:rPr>
    </w:lvl>
  </w:abstractNum>
  <w:abstractNum w:abstractNumId="1">
    <w:nsid w:val="5A5F2250"/>
    <w:multiLevelType w:val="singleLevel"/>
    <w:tmpl w:val="5A5F2250"/>
    <w:lvl w:ilvl="0" w:tentative="0">
      <w:start w:val="1"/>
      <w:numFmt w:val="chineseCounting"/>
      <w:suff w:val="nothing"/>
      <w:lvlText w:val="%1、"/>
      <w:lvlJc w:val="left"/>
      <w:rPr>
        <w:rFonts w:cs="Times New Roman"/>
      </w:rPr>
    </w:lvl>
  </w:abstractNum>
  <w:abstractNum w:abstractNumId="2">
    <w:nsid w:val="5A5F2384"/>
    <w:multiLevelType w:val="singleLevel"/>
    <w:tmpl w:val="5A5F2384"/>
    <w:lvl w:ilvl="0" w:tentative="0">
      <w:start w:val="1"/>
      <w:numFmt w:val="chineseCounting"/>
      <w:suff w:val="nothing"/>
      <w:lvlText w:val="%1、"/>
      <w:lvlJc w:val="left"/>
      <w:rPr>
        <w:rFonts w:cs="Times New Roman"/>
      </w:rPr>
    </w:lvl>
  </w:abstractNum>
  <w:abstractNum w:abstractNumId="3">
    <w:nsid w:val="5A5F2A51"/>
    <w:multiLevelType w:val="singleLevel"/>
    <w:tmpl w:val="5A5F2A51"/>
    <w:lvl w:ilvl="0" w:tentative="0">
      <w:start w:val="1"/>
      <w:numFmt w:val="chineseCounting"/>
      <w:suff w:val="nothing"/>
      <w:lvlText w:val="%1、"/>
      <w:lvlJc w:val="left"/>
      <w:rPr>
        <w:rFonts w:cs="Times New Roman"/>
      </w:rPr>
    </w:lvl>
  </w:abstractNum>
  <w:abstractNum w:abstractNumId="4">
    <w:nsid w:val="5A5F2BFF"/>
    <w:multiLevelType w:val="singleLevel"/>
    <w:tmpl w:val="5A5F2BFF"/>
    <w:lvl w:ilvl="0" w:tentative="0">
      <w:start w:val="1"/>
      <w:numFmt w:val="chineseCounting"/>
      <w:suff w:val="nothing"/>
      <w:lvlText w:val="（%1）"/>
      <w:lvlJc w:val="left"/>
      <w:rPr>
        <w:rFonts w:cs="Times New Roman"/>
      </w:rPr>
    </w:lvl>
  </w:abstractNum>
  <w:abstractNum w:abstractNumId="5">
    <w:nsid w:val="5A600927"/>
    <w:multiLevelType w:val="singleLevel"/>
    <w:tmpl w:val="5A600927"/>
    <w:lvl w:ilvl="0" w:tentative="0">
      <w:start w:val="1"/>
      <w:numFmt w:val="chineseCounting"/>
      <w:suff w:val="nothing"/>
      <w:lvlText w:val="%1、"/>
      <w:lvlJc w:val="left"/>
      <w:rPr>
        <w:rFonts w:cs="Times New Roman"/>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B6DAE"/>
    <w:rsid w:val="001E7C89"/>
    <w:rsid w:val="001F2188"/>
    <w:rsid w:val="00250DAC"/>
    <w:rsid w:val="00314D60"/>
    <w:rsid w:val="003D4DDF"/>
    <w:rsid w:val="004121DE"/>
    <w:rsid w:val="00432D41"/>
    <w:rsid w:val="00443DC3"/>
    <w:rsid w:val="004C53BD"/>
    <w:rsid w:val="005161CD"/>
    <w:rsid w:val="006052DE"/>
    <w:rsid w:val="00620D64"/>
    <w:rsid w:val="006B04CE"/>
    <w:rsid w:val="006D25BC"/>
    <w:rsid w:val="006E71A1"/>
    <w:rsid w:val="007F4D3B"/>
    <w:rsid w:val="00834995"/>
    <w:rsid w:val="00903008"/>
    <w:rsid w:val="00921EF9"/>
    <w:rsid w:val="00A21A21"/>
    <w:rsid w:val="00A66F83"/>
    <w:rsid w:val="00AB4A44"/>
    <w:rsid w:val="00B348E6"/>
    <w:rsid w:val="00B643AF"/>
    <w:rsid w:val="00B667AD"/>
    <w:rsid w:val="00C06DD8"/>
    <w:rsid w:val="00C1201D"/>
    <w:rsid w:val="00C56190"/>
    <w:rsid w:val="00D62E67"/>
    <w:rsid w:val="00E86130"/>
    <w:rsid w:val="00EA0F07"/>
    <w:rsid w:val="081D07C1"/>
    <w:rsid w:val="2F300128"/>
    <w:rsid w:val="3F0826BD"/>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236</Words>
  <Characters>1346</Characters>
  <Lines>11</Lines>
  <Paragraphs>3</Paragraphs>
  <TotalTime>4</TotalTime>
  <ScaleCrop>false</ScaleCrop>
  <LinksUpToDate>false</LinksUpToDate>
  <CharactersWithSpaces>1579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2018-04-16T10:50:00Z</dcterms:created>
  <dc:creator>小捣</dc:creator>
  <cp:lastModifiedBy>小捣</cp:lastModifiedBy>
  <cp:lastPrinted>2018-04-17T00:06:00Z</cp:lastPrinted>
  <dcterms:modified xsi:type="dcterms:W3CDTF">2018-05-23T06:44:58Z</dcterms:modified>
  <dc:title>2016年</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