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蕉岭县新铺中学部门预算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jc w:val="center"/>
        <w:rPr>
          <w:rFonts w:ascii="黑体" w:hAnsi="黑体" w:eastAsia="黑体" w:cs="黑体"/>
          <w:sz w:val="44"/>
          <w:szCs w:val="44"/>
        </w:rPr>
      </w:pP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蕉岭县新铺中学部门概况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  蕉岭县新铺中学部门预算表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  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第一部分  </w:t>
      </w:r>
      <w:r>
        <w:rPr>
          <w:rFonts w:hint="eastAsia" w:ascii="黑体" w:hAnsi="黑体" w:eastAsia="黑体" w:cs="黑体"/>
          <w:sz w:val="44"/>
          <w:szCs w:val="44"/>
        </w:rPr>
        <w:t>蕉岭县新铺中学</w:t>
      </w:r>
      <w:r>
        <w:rPr>
          <w:rFonts w:hint="eastAsia" w:ascii="方正小标宋简体" w:hAnsi="方正小标宋简体" w:eastAsia="方正小标宋简体" w:cs="方正小标宋简体"/>
          <w:sz w:val="44"/>
          <w:szCs w:val="44"/>
        </w:rPr>
        <w:t>概况</w:t>
      </w:r>
    </w:p>
    <w:p>
      <w:pPr>
        <w:numPr>
          <w:ilvl w:val="0"/>
          <w:numId w:val="3"/>
        </w:numPr>
        <w:ind w:firstLine="641"/>
        <w:rPr>
          <w:rFonts w:ascii="仿宋_GB2312" w:hAnsi="仿宋_GB2312" w:eastAsia="仿宋_GB2312" w:cs="仿宋_GB2312"/>
          <w:sz w:val="32"/>
          <w:szCs w:val="32"/>
        </w:rPr>
      </w:pPr>
      <w:r>
        <w:rPr>
          <w:rFonts w:hint="eastAsia" w:ascii="黑体" w:hAnsi="黑体" w:eastAsia="黑体" w:cs="黑体"/>
          <w:sz w:val="32"/>
          <w:szCs w:val="32"/>
        </w:rPr>
        <w:t>主要职责</w:t>
      </w:r>
    </w:p>
    <w:p>
      <w:pPr>
        <w:ind w:firstLine="641"/>
        <w:rPr>
          <w:rFonts w:ascii="仿宋_GB2312" w:hAnsi="仿宋_GB2312" w:eastAsia="仿宋_GB2312" w:cs="仿宋_GB2312"/>
          <w:sz w:val="32"/>
          <w:szCs w:val="32"/>
        </w:rPr>
      </w:pPr>
      <w:r>
        <w:rPr>
          <w:rFonts w:hint="eastAsia" w:ascii="仿宋_GB2312" w:hAnsi="仿宋_GB2312" w:eastAsia="仿宋_GB2312" w:cs="仿宋_GB2312"/>
          <w:sz w:val="32"/>
          <w:szCs w:val="32"/>
        </w:rPr>
        <w:t>蕉岭县新铺中学是一所义务教育初级中学，承担初中教育教学任务。</w:t>
      </w:r>
    </w:p>
    <w:p>
      <w:pPr>
        <w:rPr>
          <w:rFonts w:ascii="黑体" w:hAnsi="黑体" w:eastAsia="黑体" w:cs="黑体"/>
          <w:sz w:val="32"/>
          <w:szCs w:val="32"/>
        </w:rPr>
      </w:pPr>
      <w:r>
        <w:rPr>
          <w:rFonts w:hint="eastAsia" w:ascii="黑体" w:hAnsi="黑体" w:eastAsia="黑体" w:cs="黑体"/>
          <w:sz w:val="32"/>
          <w:szCs w:val="32"/>
        </w:rPr>
        <w:t xml:space="preserve">    二、机构设置</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（一）本部门</w:t>
      </w:r>
      <w:r>
        <w:rPr>
          <w:rFonts w:hint="eastAsia" w:ascii="仿宋_GB2312" w:eastAsia="仿宋_GB2312" w:hAnsiTheme="minorEastAsia"/>
          <w:sz w:val="32"/>
          <w:szCs w:val="32"/>
          <w:lang w:eastAsia="zh-CN"/>
        </w:rPr>
        <w:t>无下属单位，部门</w:t>
      </w:r>
      <w:r>
        <w:rPr>
          <w:rFonts w:hint="eastAsia" w:ascii="仿宋_GB2312" w:eastAsia="仿宋_GB2312" w:hAnsiTheme="minorEastAsia"/>
          <w:sz w:val="32"/>
          <w:szCs w:val="32"/>
        </w:rPr>
        <w:t>预算为一级预算单位，无所属二级预算单位。</w:t>
      </w:r>
    </w:p>
    <w:p>
      <w:pPr>
        <w:spacing w:line="288" w:lineRule="auto"/>
        <w:ind w:firstLine="640" w:firstLineChars="200"/>
        <w:rPr>
          <w:rFonts w:hint="eastAsia" w:ascii="仿宋_GB2312" w:hAnsi="Calibri" w:eastAsia="仿宋_GB2312" w:cs="Times New Roman"/>
          <w:sz w:val="32"/>
          <w:szCs w:val="32"/>
        </w:rPr>
      </w:pPr>
      <w:r>
        <w:rPr>
          <w:rFonts w:hint="eastAsia" w:ascii="仿宋_GB2312" w:eastAsia="仿宋_GB2312"/>
          <w:sz w:val="32"/>
          <w:szCs w:val="32"/>
        </w:rPr>
        <w:t>（二）本部门内设机构、人员构成情况：本部门内设有教务处、政教处、团委、总务处。</w:t>
      </w:r>
      <w:r>
        <w:rPr>
          <w:rFonts w:hint="eastAsia" w:ascii="仿宋_GB2312" w:hAnsi="Calibri" w:eastAsia="仿宋_GB2312" w:cs="Times New Roman"/>
          <w:sz w:val="32"/>
          <w:szCs w:val="32"/>
        </w:rPr>
        <w:t>共有编制66人，实有在职人员66人、离休人员1人、退休人员72人、退职人员2人。</w:t>
      </w:r>
    </w:p>
    <w:p>
      <w:pPr>
        <w:ind w:firstLine="880" w:firstLineChars="2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p>
    <w:p>
      <w:pPr>
        <w:ind w:firstLine="1320" w:firstLineChars="3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第二部分  2016年部门预算表</w:t>
      </w:r>
    </w:p>
    <w:p>
      <w:pPr>
        <w:jc w:val="center"/>
        <w:rPr>
          <w:rFonts w:ascii="方正小标宋简体" w:hAnsi="方正小标宋简体" w:eastAsia="方正小标宋简体" w:cs="方正小标宋简体"/>
          <w:sz w:val="44"/>
          <w:szCs w:val="44"/>
        </w:rPr>
      </w:pPr>
      <w:r>
        <w:br w:type="page"/>
      </w:r>
      <w:r>
        <w:rPr>
          <w:rFonts w:hint="eastAsia" w:ascii="方正小标宋简体" w:hAnsi="方正小标宋简体" w:eastAsia="方正小标宋简体" w:cs="方正小标宋简体"/>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黑体" w:hAnsi="黑体" w:eastAsia="黑体" w:cs="黑体"/>
          <w:sz w:val="32"/>
          <w:szCs w:val="32"/>
        </w:rPr>
      </w:pPr>
      <w:r>
        <w:rPr>
          <w:rFonts w:hint="eastAsia" w:ascii="仿宋_GB2312" w:hAnsi="仿宋_GB2312" w:eastAsia="仿宋_GB2312" w:cs="仿宋_GB2312"/>
          <w:sz w:val="32"/>
          <w:szCs w:val="32"/>
        </w:rPr>
        <w:t>2016年本部门收入预算</w:t>
      </w:r>
      <w:r>
        <w:rPr>
          <w:rFonts w:hint="eastAsia" w:ascii="宋体" w:hAnsi="宋体"/>
          <w:sz w:val="32"/>
          <w:szCs w:val="32"/>
        </w:rPr>
        <w:t>976.83</w:t>
      </w:r>
      <w:r>
        <w:rPr>
          <w:rFonts w:hint="eastAsia" w:ascii="仿宋_GB2312" w:hAnsi="仿宋_GB2312" w:eastAsia="仿宋_GB2312" w:cs="仿宋_GB2312"/>
          <w:sz w:val="32"/>
          <w:szCs w:val="32"/>
        </w:rPr>
        <w:t>万元，比上年增加253.31万元，增35.01%，主要原因是提高在职工资和退休费等；支出预算</w:t>
      </w:r>
      <w:r>
        <w:rPr>
          <w:rFonts w:hint="eastAsia" w:ascii="宋体" w:hAnsi="宋体"/>
          <w:sz w:val="32"/>
          <w:szCs w:val="32"/>
        </w:rPr>
        <w:t>976.83</w:t>
      </w:r>
      <w:r>
        <w:rPr>
          <w:rFonts w:hint="eastAsia" w:ascii="仿宋_GB2312" w:hAnsi="仿宋_GB2312" w:eastAsia="仿宋_GB2312" w:cs="仿宋_GB2312"/>
          <w:sz w:val="32"/>
          <w:szCs w:val="32"/>
        </w:rPr>
        <w:t>万元，比上年增加253.31万元，增长35.01%，主要原因是支付在职工资和退休费等。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比上年增加0万元，增长0%，主要原因是与上年保持不变。其中：因公出国（境）费0万元，比上年增加0万元，增长0%，主要原因是与上年保持不变；公务用车购置及运行费0万元，比上年增加0万元，增长0%，主要原因是与上年保持不变；公务接待费0万元，比上年增加0万元，增长0%，主要原因是与上年保持不变。</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0万元，比上年增加0万元，增长0%，主要原因是与上年保持不变。其中：办公费0万元，印刷费0万元，邮电费0万元，差旅费0万元，会议费0万元，福利费0万元，日常维修费0万元，专用材料及一般设备购置费0万元，办公用房水电费0万元，办公用房取暖费0万元，办公用房物业管理费0万元，公务用车运行维护费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政府采购情况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2016年本部门政府采购安排 0万元，其中：货物类采购预算0万元，工程类采购预算0万元，服务类采购预算0万元等。</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国有资产占有使用情况</w:t>
      </w:r>
    </w:p>
    <w:p>
      <w:pPr>
        <w:pStyle w:val="8"/>
        <w:numPr>
          <w:numId w:val="0"/>
        </w:numPr>
        <w:spacing w:line="580" w:lineRule="exact"/>
        <w:ind w:firstLine="640" w:firstLineChars="200"/>
        <w:rPr>
          <w:rFonts w:ascii="仿宋_GB2312" w:eastAsia="仿宋_GB2312"/>
          <w:sz w:val="32"/>
          <w:szCs w:val="32"/>
        </w:rPr>
      </w:pPr>
      <w:r>
        <w:rPr>
          <w:rFonts w:hint="eastAsia" w:ascii="仿宋_GB2312" w:eastAsia="仿宋_GB2312"/>
          <w:sz w:val="32"/>
          <w:szCs w:val="32"/>
        </w:rPr>
        <w:t>截至2016年1月31日，本部门共有（一）房屋 12777 平方米，其中：办公用房12777平方米，业务用房  0 平方米，其他 0 平方米；本部门共有车辆0辆，其中，一般公务用车0辆（用于机要通信、应急工作）、一般执法执勤用车0辆、特种专业技术用车0辆、其他用车0辆，其；</w:t>
      </w:r>
      <w:r>
        <w:rPr>
          <w:rFonts w:hint="eastAsia" w:ascii="仿宋_GB2312" w:hAnsi="宋体" w:eastAsia="仿宋_GB2312" w:cs="宋体"/>
          <w:kern w:val="0"/>
          <w:sz w:val="32"/>
          <w:szCs w:val="32"/>
        </w:rPr>
        <w:t>单位价值</w:t>
      </w:r>
      <w:r>
        <w:rPr>
          <w:rFonts w:ascii="仿宋_GB2312" w:hAnsi="宋体" w:eastAsia="仿宋_GB2312" w:cs="宋体"/>
          <w:kern w:val="0"/>
          <w:sz w:val="32"/>
          <w:szCs w:val="32"/>
        </w:rPr>
        <w:t>50万元以上通用设备</w:t>
      </w:r>
      <w:r>
        <w:rPr>
          <w:rFonts w:hint="eastAsia" w:ascii="仿宋_GB2312" w:hAnsi="宋体" w:eastAsia="仿宋_GB2312" w:cs="宋体"/>
          <w:kern w:val="0"/>
          <w:sz w:val="32"/>
          <w:szCs w:val="32"/>
        </w:rPr>
        <w:t>0台（套），单价</w:t>
      </w:r>
      <w:r>
        <w:rPr>
          <w:rFonts w:ascii="仿宋_GB2312" w:hAnsi="宋体" w:eastAsia="仿宋_GB2312" w:cs="宋体"/>
          <w:kern w:val="0"/>
          <w:sz w:val="32"/>
          <w:szCs w:val="32"/>
        </w:rPr>
        <w:t>100万元以上专用设备</w:t>
      </w:r>
      <w:r>
        <w:rPr>
          <w:rFonts w:hint="eastAsia" w:ascii="仿宋_GB2312" w:hAnsi="宋体" w:eastAsia="仿宋_GB2312" w:cs="宋体"/>
          <w:kern w:val="0"/>
          <w:sz w:val="32"/>
          <w:szCs w:val="32"/>
        </w:rPr>
        <w:t>0台（套）。</w:t>
      </w:r>
    </w:p>
    <w:p>
      <w:pPr>
        <w:numPr>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预算绩效信息公开情况</w:t>
      </w:r>
    </w:p>
    <w:p>
      <w:pPr>
        <w:snapToGrid w:val="0"/>
        <w:spacing w:line="580" w:lineRule="exact"/>
        <w:ind w:firstLine="515" w:firstLineChars="161"/>
        <w:rPr>
          <w:rFonts w:ascii="仿宋_GB2312" w:eastAsia="仿宋_GB2312"/>
          <w:sz w:val="32"/>
          <w:szCs w:val="32"/>
        </w:rPr>
      </w:pPr>
      <w:r>
        <w:rPr>
          <w:rFonts w:hint="eastAsia" w:ascii="仿宋_GB2312" w:eastAsia="仿宋_GB2312"/>
          <w:sz w:val="32"/>
          <w:szCs w:val="32"/>
        </w:rPr>
        <w:t>我部门组织对2016年度一般公共预算项目支出全面开展绩效自评。自评覆盖率达到100%。</w:t>
      </w:r>
    </w:p>
    <w:p>
      <w:pPr>
        <w:snapToGrid w:val="0"/>
        <w:spacing w:line="580" w:lineRule="exact"/>
        <w:ind w:firstLine="640"/>
        <w:rPr>
          <w:rFonts w:ascii="仿宋_GB2312" w:eastAsia="仿宋_GB2312"/>
          <w:sz w:val="32"/>
          <w:szCs w:val="32"/>
        </w:rPr>
      </w:pPr>
      <w:r>
        <w:rPr>
          <w:rFonts w:hint="eastAsia" w:ascii="仿宋_GB2312" w:eastAsia="仿宋_GB2312"/>
          <w:sz w:val="32"/>
          <w:szCs w:val="32"/>
        </w:rPr>
        <w:t>从评价情况来看，各个项目支出绩效情况较为理想达到项目申请时设定的各项绩效目标。</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第四部分  名词解释</w:t>
      </w:r>
    </w:p>
    <w:p>
      <w:pPr>
        <w:numPr>
          <w:ilvl w:val="0"/>
          <w:numId w:val="5"/>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D689C"/>
    <w:rsid w:val="001034A5"/>
    <w:rsid w:val="00120EC9"/>
    <w:rsid w:val="001B4C5B"/>
    <w:rsid w:val="001B56FD"/>
    <w:rsid w:val="0023301B"/>
    <w:rsid w:val="00314CCE"/>
    <w:rsid w:val="003672A2"/>
    <w:rsid w:val="003F473C"/>
    <w:rsid w:val="004C2C30"/>
    <w:rsid w:val="00517470"/>
    <w:rsid w:val="00542462"/>
    <w:rsid w:val="00566055"/>
    <w:rsid w:val="00575959"/>
    <w:rsid w:val="006922AE"/>
    <w:rsid w:val="00703A40"/>
    <w:rsid w:val="00716555"/>
    <w:rsid w:val="009E0A50"/>
    <w:rsid w:val="00A31741"/>
    <w:rsid w:val="00B34EA8"/>
    <w:rsid w:val="00BD4C34"/>
    <w:rsid w:val="00C42B7B"/>
    <w:rsid w:val="00C46326"/>
    <w:rsid w:val="00CB2D8C"/>
    <w:rsid w:val="00D3342C"/>
    <w:rsid w:val="00E907C7"/>
    <w:rsid w:val="04EE5C49"/>
    <w:rsid w:val="081D07C1"/>
    <w:rsid w:val="2F300128"/>
    <w:rsid w:val="38923166"/>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微软中国</Company>
  <Pages>8</Pages>
  <Words>2260</Words>
  <Characters>156</Characters>
  <Lines>1</Lines>
  <Paragraphs>4</Paragraphs>
  <TotalTime>92</TotalTime>
  <ScaleCrop>false</ScaleCrop>
  <LinksUpToDate>false</LinksUpToDate>
  <CharactersWithSpaces>2412</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2018-04-15T06:02:00Z</cp:lastPrinted>
  <dcterms:modified xsi:type="dcterms:W3CDTF">2018-05-23T08:47:32Z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