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蕉岭县文物保护研究中心部门预算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蕉岭县文物保护研究中心概况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宋体" w:hAnsi="宋体" w:eastAsia="宋体" w:cs="Times New Roman"/>
          <w:b/>
          <w:sz w:val="44"/>
          <w:szCs w:val="44"/>
        </w:rPr>
        <w:t>蕉岭县文物保护研究中心</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spacing w:line="288" w:lineRule="auto"/>
        <w:outlineLvl w:val="0"/>
        <w:rPr>
          <w:rFonts w:ascii="仿宋" w:hAnsi="仿宋" w:eastAsia="仿宋" w:cs="Times New Roman"/>
          <w:b/>
          <w:sz w:val="32"/>
          <w:szCs w:val="32"/>
        </w:rPr>
      </w:pPr>
      <w:r>
        <w:rPr>
          <w:rFonts w:hint="eastAsia" w:ascii="仿宋" w:hAnsi="仿宋" w:eastAsia="仿宋" w:cs="Times New Roman"/>
          <w:b/>
          <w:sz w:val="32"/>
          <w:szCs w:val="32"/>
        </w:rPr>
        <w:t>一、部门基本情况</w:t>
      </w:r>
    </w:p>
    <w:p>
      <w:pPr>
        <w:spacing w:line="288"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（一）部门机构设置、职能</w:t>
      </w:r>
    </w:p>
    <w:p>
      <w:pPr>
        <w:spacing w:line="288" w:lineRule="auto"/>
        <w:ind w:firstLine="640" w:firstLineChars="200"/>
        <w:rPr>
          <w:rFonts w:ascii="仿宋" w:hAnsi="仿宋" w:eastAsia="仿宋" w:cs="Times New Roman"/>
          <w:sz w:val="32"/>
          <w:szCs w:val="32"/>
        </w:rPr>
      </w:pPr>
      <w:r>
        <w:rPr>
          <w:rFonts w:hint="eastAsia" w:ascii="仿宋_GB2312" w:eastAsia="仿宋_GB2312"/>
          <w:sz w:val="32"/>
          <w:szCs w:val="32"/>
          <w:lang w:eastAsia="zh-CN"/>
        </w:rPr>
        <w:t>本部门无下属单位，部门预算为本级预算。</w:t>
      </w:r>
      <w:r>
        <w:rPr>
          <w:rFonts w:hint="eastAsia" w:ascii="仿宋" w:hAnsi="仿宋" w:eastAsia="仿宋" w:cs="Times New Roman"/>
          <w:sz w:val="32"/>
          <w:szCs w:val="32"/>
        </w:rPr>
        <w:t>蕉岭县文物保护研究中心为副科级事业单位，隶属于蕉岭县文体旅游局，核定事业编制5名，人员经费由财政核拨。主要职能为文物和标本的收藏研究，宣传教育等。</w:t>
      </w:r>
    </w:p>
    <w:p>
      <w:pPr>
        <w:spacing w:line="288"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（二）人员构成情况</w:t>
      </w:r>
    </w:p>
    <w:p>
      <w:pPr>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县</w:t>
      </w:r>
      <w:r>
        <w:rPr>
          <w:rFonts w:hint="eastAsia" w:ascii="仿宋" w:hAnsi="仿宋" w:eastAsia="仿宋" w:cs="Times New Roman"/>
          <w:color w:val="000000"/>
          <w:sz w:val="32"/>
          <w:szCs w:val="32"/>
        </w:rPr>
        <w:t>文物保护研究中心</w:t>
      </w:r>
      <w:r>
        <w:rPr>
          <w:rFonts w:ascii="仿宋" w:hAnsi="仿宋" w:eastAsia="仿宋" w:cs="Times New Roman"/>
          <w:color w:val="000000"/>
          <w:sz w:val="32"/>
          <w:szCs w:val="32"/>
        </w:rPr>
        <w:t>在编人员</w:t>
      </w:r>
      <w:r>
        <w:rPr>
          <w:rFonts w:hint="eastAsia" w:ascii="仿宋" w:hAnsi="仿宋" w:eastAsia="仿宋" w:cs="Times New Roman"/>
          <w:color w:val="000000"/>
          <w:sz w:val="32"/>
          <w:szCs w:val="32"/>
        </w:rPr>
        <w:t>4</w:t>
      </w:r>
      <w:r>
        <w:rPr>
          <w:rFonts w:ascii="仿宋" w:hAnsi="仿宋" w:eastAsia="仿宋" w:cs="Times New Roman"/>
          <w:color w:val="000000"/>
          <w:sz w:val="32"/>
          <w:szCs w:val="32"/>
        </w:rPr>
        <w:t>人</w:t>
      </w:r>
      <w:r>
        <w:rPr>
          <w:rFonts w:hint="eastAsia" w:ascii="仿宋" w:hAnsi="仿宋" w:eastAsia="仿宋" w:cs="Times New Roman"/>
          <w:color w:val="000000"/>
          <w:sz w:val="32"/>
          <w:szCs w:val="32"/>
        </w:rPr>
        <w:t>，</w:t>
      </w:r>
      <w:r>
        <w:rPr>
          <w:rFonts w:ascii="仿宋" w:hAnsi="仿宋" w:eastAsia="仿宋" w:cs="Times New Roman"/>
          <w:color w:val="000000"/>
          <w:sz w:val="32"/>
          <w:szCs w:val="32"/>
        </w:rPr>
        <w:t>本科学历</w:t>
      </w:r>
      <w:r>
        <w:rPr>
          <w:rFonts w:hint="eastAsia" w:ascii="仿宋" w:hAnsi="仿宋" w:eastAsia="仿宋" w:cs="Times New Roman"/>
          <w:color w:val="000000"/>
          <w:sz w:val="32"/>
          <w:szCs w:val="32"/>
        </w:rPr>
        <w:t>3</w:t>
      </w:r>
      <w:r>
        <w:rPr>
          <w:rFonts w:ascii="仿宋" w:hAnsi="仿宋" w:eastAsia="仿宋" w:cs="Times New Roman"/>
          <w:color w:val="000000"/>
          <w:sz w:val="32"/>
          <w:szCs w:val="32"/>
        </w:rPr>
        <w:t>人、专科学历</w:t>
      </w:r>
      <w:r>
        <w:rPr>
          <w:rFonts w:hint="eastAsia" w:ascii="仿宋" w:hAnsi="仿宋" w:eastAsia="仿宋" w:cs="Times New Roman"/>
          <w:color w:val="000000"/>
          <w:sz w:val="32"/>
          <w:szCs w:val="32"/>
        </w:rPr>
        <w:t>1</w:t>
      </w:r>
      <w:r>
        <w:rPr>
          <w:rFonts w:ascii="仿宋" w:hAnsi="仿宋" w:eastAsia="仿宋" w:cs="Times New Roman"/>
          <w:color w:val="000000"/>
          <w:sz w:val="32"/>
          <w:szCs w:val="32"/>
        </w:rPr>
        <w:t>人</w:t>
      </w:r>
      <w:r>
        <w:rPr>
          <w:rFonts w:hint="eastAsia" w:ascii="仿宋" w:hAnsi="仿宋" w:eastAsia="仿宋" w:cs="Times New Roman"/>
          <w:color w:val="000000"/>
          <w:sz w:val="32"/>
          <w:szCs w:val="32"/>
        </w:rPr>
        <w:t>，</w:t>
      </w:r>
      <w:r>
        <w:rPr>
          <w:rFonts w:ascii="仿宋" w:hAnsi="仿宋" w:eastAsia="仿宋" w:cs="Times New Roman"/>
          <w:color w:val="000000"/>
          <w:sz w:val="32"/>
          <w:szCs w:val="32"/>
        </w:rPr>
        <w:t>其中具有</w:t>
      </w:r>
      <w:r>
        <w:rPr>
          <w:rFonts w:hint="eastAsia" w:ascii="仿宋" w:hAnsi="仿宋" w:eastAsia="仿宋" w:cs="Times New Roman"/>
          <w:color w:val="000000"/>
          <w:sz w:val="32"/>
          <w:szCs w:val="32"/>
        </w:rPr>
        <w:t>中级</w:t>
      </w:r>
      <w:r>
        <w:rPr>
          <w:rFonts w:ascii="仿宋" w:hAnsi="仿宋" w:eastAsia="仿宋" w:cs="Times New Roman"/>
          <w:color w:val="000000"/>
          <w:sz w:val="32"/>
          <w:szCs w:val="32"/>
        </w:rPr>
        <w:t>职称</w:t>
      </w:r>
      <w:r>
        <w:rPr>
          <w:rFonts w:hint="eastAsia" w:ascii="仿宋" w:hAnsi="仿宋" w:eastAsia="仿宋" w:cs="Times New Roman"/>
          <w:color w:val="000000"/>
          <w:sz w:val="32"/>
          <w:szCs w:val="32"/>
        </w:rPr>
        <w:t>的2</w:t>
      </w:r>
      <w:r>
        <w:rPr>
          <w:rFonts w:ascii="仿宋" w:hAnsi="仿宋" w:eastAsia="仿宋" w:cs="Times New Roman"/>
          <w:color w:val="000000"/>
          <w:sz w:val="32"/>
          <w:szCs w:val="32"/>
        </w:rPr>
        <w:t>人，</w:t>
      </w:r>
      <w:r>
        <w:rPr>
          <w:rFonts w:hint="eastAsia" w:ascii="仿宋" w:hAnsi="仿宋" w:eastAsia="仿宋" w:cs="Times New Roman"/>
          <w:color w:val="000000"/>
          <w:sz w:val="32"/>
          <w:szCs w:val="32"/>
        </w:rPr>
        <w:t>初级职称的1</w:t>
      </w:r>
      <w:r>
        <w:rPr>
          <w:rFonts w:ascii="仿宋" w:hAnsi="仿宋" w:eastAsia="仿宋" w:cs="Times New Roman"/>
          <w:color w:val="000000"/>
          <w:sz w:val="32"/>
          <w:szCs w:val="32"/>
        </w:rPr>
        <w:t>人。</w:t>
      </w:r>
      <w:r>
        <w:rPr>
          <w:rFonts w:hint="eastAsia" w:ascii="仿宋" w:hAnsi="仿宋" w:eastAsia="仿宋" w:cs="Times New Roman"/>
          <w:color w:val="000000"/>
          <w:sz w:val="32"/>
          <w:szCs w:val="32"/>
        </w:rPr>
        <w:t>无退休人员。所有人员经费均由财政核拨。</w:t>
      </w:r>
    </w:p>
    <w:p>
      <w:pPr>
        <w:spacing w:line="288"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（三）决算年度的主要工作任务</w:t>
      </w:r>
    </w:p>
    <w:p>
      <w:pPr>
        <w:widowControl/>
        <w:jc w:val="left"/>
        <w:rPr>
          <w:rFonts w:ascii="Times New Roman" w:hAnsi="Times New Roman" w:eastAsia="仿宋" w:cs="Times New Roman"/>
          <w:sz w:val="32"/>
          <w:szCs w:val="32"/>
        </w:rPr>
      </w:pPr>
      <w:r>
        <w:rPr>
          <w:rFonts w:hint="eastAsia" w:ascii="Times New Roman" w:hAnsi="Times New Roman" w:eastAsia="仿宋_GB2312" w:cs="Times New Roman"/>
          <w:b/>
          <w:sz w:val="32"/>
          <w:szCs w:val="32"/>
        </w:rPr>
        <w:t xml:space="preserve">    </w:t>
      </w:r>
      <w:r>
        <w:rPr>
          <w:rFonts w:ascii="Times New Roman" w:hAnsi="Times New Roman" w:eastAsia="仿宋_GB2312" w:cs="Times New Roman"/>
          <w:b/>
          <w:sz w:val="32"/>
          <w:szCs w:val="32"/>
        </w:rPr>
        <w:t>一是文物保护工作。</w:t>
      </w:r>
      <w:r>
        <w:rPr>
          <w:rFonts w:ascii="Times New Roman" w:hAnsi="Times New Roman" w:eastAsia="仿宋_GB2312" w:cs="Times New Roman"/>
          <w:sz w:val="32"/>
          <w:szCs w:val="32"/>
        </w:rPr>
        <w:t>完成国保单位谢晋元故居消防工程及文物风貌改善项目纳入“十三五”文物保护利用设施建设规划项目申报材料；蕉岭县涉台省保文物维修保护工作方案；第二次全国地名普查（蕉岭县博物馆及第三次全国不可移动文物遗址普查信息资料</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；做好2016年国家重点文物保护专项资金在线申报前期工作。按时按质全面完成了馆藏文物第一次全国可移动文物普查工作；组织蕉岭古道实地走访调查。</w:t>
      </w:r>
      <w:r>
        <w:rPr>
          <w:rFonts w:ascii="Times New Roman" w:hAnsi="Times New Roman" w:eastAsia="仿宋_GB2312" w:cs="Times New Roman"/>
          <w:b/>
          <w:sz w:val="32"/>
          <w:szCs w:val="32"/>
        </w:rPr>
        <w:t>二是宣教工作。</w:t>
      </w:r>
      <w:r>
        <w:rPr>
          <w:rFonts w:ascii="Times New Roman" w:hAnsi="Times New Roman" w:eastAsia="仿宋_GB2312" w:cs="Times New Roman"/>
          <w:sz w:val="32"/>
          <w:szCs w:val="32"/>
        </w:rPr>
        <w:t>举办《百名艺术家游寿乡采风笔会书法作品展》、《“长寿蕉岭·美丽蓝坊行”油画摄影展》临时展览；</w:t>
      </w:r>
      <w:r>
        <w:rPr>
          <w:rFonts w:ascii="Times New Roman" w:hAnsi="Times New Roman" w:eastAsia="仿宋" w:cs="Times New Roman"/>
          <w:sz w:val="32"/>
          <w:szCs w:val="32"/>
        </w:rPr>
        <w:t>整理、印制了丘逢甲故居楹联宣传折页资料。</w:t>
      </w:r>
      <w:r>
        <w:rPr>
          <w:rFonts w:ascii="Times New Roman" w:hAnsi="Times New Roman" w:eastAsia="仿宋_GB2312" w:cs="Times New Roman"/>
          <w:b/>
          <w:sz w:val="32"/>
          <w:szCs w:val="32"/>
        </w:rPr>
        <w:t>三是安全生产工作。</w:t>
      </w:r>
      <w:r>
        <w:rPr>
          <w:rFonts w:ascii="Times New Roman" w:hAnsi="Times New Roman" w:eastAsia="仿宋_GB2312" w:cs="Times New Roman"/>
          <w:sz w:val="32"/>
          <w:szCs w:val="32"/>
        </w:rPr>
        <w:t>与安全生产直接责任人签订了安全生产责任书，坚持每天安全巡查及交接班制度，定期和不定期地组织和开展文物消防、安全检查，及时落实整改。</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tbl>
      <w:tblPr>
        <w:tblStyle w:val="5"/>
        <w:tblW w:w="8670" w:type="dxa"/>
        <w:tblInd w:w="93" w:type="dxa"/>
        <w:tblLayout w:type="fixed"/>
        <w:tblCellMar>
          <w:top w:w="0" w:type="dxa"/>
          <w:left w:w="108" w:type="dxa"/>
          <w:bottom w:w="0" w:type="dxa"/>
          <w:right w:w="108" w:type="dxa"/>
        </w:tblCellMar>
      </w:tblPr>
      <w:tblGrid>
        <w:gridCol w:w="2821"/>
        <w:gridCol w:w="1485"/>
        <w:gridCol w:w="2392"/>
        <w:gridCol w:w="1972"/>
      </w:tblGrid>
      <w:tr>
        <w:tblPrEx>
          <w:tblLayout w:type="fixed"/>
          <w:tblCellMar>
            <w:top w:w="0" w:type="dxa"/>
            <w:left w:w="108" w:type="dxa"/>
            <w:bottom w:w="0" w:type="dxa"/>
            <w:right w:w="108" w:type="dxa"/>
          </w:tblCellMar>
        </w:tblPrEx>
        <w:trPr>
          <w:trHeight w:val="270" w:hRule="atLeast"/>
        </w:trPr>
        <w:tc>
          <w:tcPr>
            <w:tcW w:w="2821"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1485"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392"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72"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表1</w:t>
            </w:r>
          </w:p>
        </w:tc>
      </w:tr>
      <w:tr>
        <w:tblPrEx>
          <w:tblLayout w:type="fixed"/>
          <w:tblCellMar>
            <w:top w:w="0" w:type="dxa"/>
            <w:left w:w="108" w:type="dxa"/>
            <w:bottom w:w="0" w:type="dxa"/>
            <w:right w:w="108" w:type="dxa"/>
          </w:tblCellMar>
        </w:tblPrEx>
        <w:trPr>
          <w:trHeight w:val="285" w:hRule="atLeast"/>
        </w:trPr>
        <w:tc>
          <w:tcPr>
            <w:tcW w:w="2821"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85"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392"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72"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Layout w:type="fixed"/>
          <w:tblCellMar>
            <w:top w:w="0" w:type="dxa"/>
            <w:left w:w="108" w:type="dxa"/>
            <w:bottom w:w="0" w:type="dxa"/>
            <w:right w:w="108" w:type="dxa"/>
          </w:tblCellMar>
        </w:tblPrEx>
        <w:trPr>
          <w:trHeight w:val="499" w:hRule="atLeast"/>
        </w:trPr>
        <w:tc>
          <w:tcPr>
            <w:tcW w:w="867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收支总体情况表</w:t>
            </w:r>
          </w:p>
        </w:tc>
      </w:tr>
      <w:tr>
        <w:tblPrEx>
          <w:tblLayout w:type="fixed"/>
          <w:tblCellMar>
            <w:top w:w="0" w:type="dxa"/>
            <w:left w:w="108" w:type="dxa"/>
            <w:bottom w:w="0" w:type="dxa"/>
            <w:right w:w="108" w:type="dxa"/>
          </w:tblCellMar>
        </w:tblPrEx>
        <w:trPr>
          <w:trHeight w:val="435" w:hRule="atLeast"/>
        </w:trPr>
        <w:tc>
          <w:tcPr>
            <w:tcW w:w="4306"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单位名称：蕉岭县文物保护研究中心</w:t>
            </w:r>
          </w:p>
        </w:tc>
        <w:tc>
          <w:tcPr>
            <w:tcW w:w="2392" w:type="dxa"/>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6"/>
                <w:szCs w:val="26"/>
              </w:rPr>
            </w:pPr>
            <w:r>
              <w:rPr>
                <w:rFonts w:hint="eastAsia" w:ascii="宋体" w:hAnsi="宋体" w:eastAsia="宋体" w:cs="Arial"/>
                <w:b/>
                <w:bCs/>
                <w:color w:val="000000"/>
                <w:kern w:val="0"/>
                <w:sz w:val="26"/>
                <w:szCs w:val="26"/>
              </w:rPr>
              <w:t>　</w:t>
            </w:r>
          </w:p>
        </w:tc>
        <w:tc>
          <w:tcPr>
            <w:tcW w:w="1972"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单位：万元</w:t>
            </w:r>
          </w:p>
        </w:tc>
      </w:tr>
      <w:tr>
        <w:tblPrEx>
          <w:tblLayout w:type="fixed"/>
          <w:tblCellMar>
            <w:top w:w="0" w:type="dxa"/>
            <w:left w:w="108" w:type="dxa"/>
            <w:bottom w:w="0" w:type="dxa"/>
            <w:right w:w="108" w:type="dxa"/>
          </w:tblCellMar>
        </w:tblPrEx>
        <w:trPr>
          <w:trHeight w:val="600" w:hRule="atLeast"/>
        </w:trPr>
        <w:tc>
          <w:tcPr>
            <w:tcW w:w="4306"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364"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  项  目</w:t>
            </w:r>
          </w:p>
        </w:tc>
        <w:tc>
          <w:tcPr>
            <w:tcW w:w="1485"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2392"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  项  目</w:t>
            </w:r>
          </w:p>
        </w:tc>
        <w:tc>
          <w:tcPr>
            <w:tcW w:w="1972"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一、财政拨款</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c>
          <w:tcPr>
            <w:tcW w:w="2392"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72" w:type="dxa"/>
            <w:tcBorders>
              <w:top w:val="nil"/>
              <w:left w:val="single" w:color="000000" w:sz="4" w:space="0"/>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single" w:color="000000" w:sz="4" w:space="0"/>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92"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821"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收入总计</w:t>
            </w:r>
          </w:p>
        </w:tc>
        <w:tc>
          <w:tcPr>
            <w:tcW w:w="148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c>
          <w:tcPr>
            <w:tcW w:w="2392"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支出总计</w:t>
            </w:r>
          </w:p>
        </w:tc>
        <w:tc>
          <w:tcPr>
            <w:tcW w:w="197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8670"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注：财政拨款收支情况包括一般公共预算、政府性基金预算、国有资本经营预算拨款收支情况。</w:t>
            </w:r>
          </w:p>
        </w:tc>
      </w:tr>
    </w:tbl>
    <w:p/>
    <w:tbl>
      <w:tblPr>
        <w:tblStyle w:val="5"/>
        <w:tblW w:w="8237" w:type="dxa"/>
        <w:tblInd w:w="93" w:type="dxa"/>
        <w:tblLayout w:type="fixed"/>
        <w:tblCellMar>
          <w:top w:w="0" w:type="dxa"/>
          <w:left w:w="108" w:type="dxa"/>
          <w:bottom w:w="0" w:type="dxa"/>
          <w:right w:w="108" w:type="dxa"/>
        </w:tblCellMar>
      </w:tblPr>
      <w:tblGrid>
        <w:gridCol w:w="4480"/>
        <w:gridCol w:w="3757"/>
      </w:tblGrid>
      <w:tr>
        <w:tblPrEx>
          <w:tblLayout w:type="fixed"/>
          <w:tblCellMar>
            <w:top w:w="0" w:type="dxa"/>
            <w:left w:w="108" w:type="dxa"/>
            <w:bottom w:w="0" w:type="dxa"/>
            <w:right w:w="108" w:type="dxa"/>
          </w:tblCellMar>
        </w:tblPrEx>
        <w:trPr>
          <w:trHeight w:val="270" w:hRule="atLeast"/>
        </w:trPr>
        <w:tc>
          <w:tcPr>
            <w:tcW w:w="44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3757" w:type="dxa"/>
            <w:tcBorders>
              <w:top w:val="nil"/>
              <w:left w:val="nil"/>
              <w:bottom w:val="nil"/>
              <w:right w:val="nil"/>
            </w:tcBorders>
            <w:shd w:val="clear" w:color="auto" w:fill="auto"/>
            <w:vAlign w:val="center"/>
          </w:tcPr>
          <w:p>
            <w:pPr>
              <w:widowControl/>
              <w:jc w:val="right"/>
              <w:rPr>
                <w:rFonts w:ascii="宋体" w:hAnsi="宋体" w:eastAsia="宋体" w:cs="Arial"/>
                <w:kern w:val="0"/>
                <w:sz w:val="18"/>
                <w:szCs w:val="18"/>
              </w:rPr>
            </w:pPr>
            <w:r>
              <w:rPr>
                <w:rFonts w:hint="eastAsia" w:ascii="宋体" w:hAnsi="宋体" w:eastAsia="宋体" w:cs="Arial"/>
                <w:kern w:val="0"/>
                <w:sz w:val="18"/>
                <w:szCs w:val="18"/>
              </w:rPr>
              <w:t>表2</w:t>
            </w:r>
          </w:p>
        </w:tc>
      </w:tr>
      <w:tr>
        <w:tblPrEx>
          <w:tblLayout w:type="fixed"/>
          <w:tblCellMar>
            <w:top w:w="0" w:type="dxa"/>
            <w:left w:w="108" w:type="dxa"/>
            <w:bottom w:w="0" w:type="dxa"/>
            <w:right w:w="108" w:type="dxa"/>
          </w:tblCellMar>
        </w:tblPrEx>
        <w:trPr>
          <w:trHeight w:val="499" w:hRule="atLeast"/>
        </w:trPr>
        <w:tc>
          <w:tcPr>
            <w:tcW w:w="8237"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收入总体情况表</w:t>
            </w:r>
          </w:p>
        </w:tc>
      </w:tr>
      <w:tr>
        <w:tblPrEx>
          <w:tblLayout w:type="fixed"/>
          <w:tblCellMar>
            <w:top w:w="0" w:type="dxa"/>
            <w:left w:w="108" w:type="dxa"/>
            <w:bottom w:w="0" w:type="dxa"/>
            <w:right w:w="108" w:type="dxa"/>
          </w:tblCellMar>
        </w:tblPrEx>
        <w:trPr>
          <w:trHeight w:val="435" w:hRule="atLeast"/>
        </w:trPr>
        <w:tc>
          <w:tcPr>
            <w:tcW w:w="44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单位名称：蕉岭县文物保护研究中心</w:t>
            </w:r>
          </w:p>
        </w:tc>
        <w:tc>
          <w:tcPr>
            <w:tcW w:w="3757"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448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3757"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一、预算拨款</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一般公共预算拨款</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基金预算拨款</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教育收费</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其他财政收入拨款</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事业收入</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事业单位经营收入</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其他收入</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收 入 合 计</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nil"/>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375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757" w:type="dxa"/>
            <w:tcBorders>
              <w:top w:val="nil"/>
              <w:left w:val="nil"/>
              <w:bottom w:val="single" w:color="auto" w:sz="4" w:space="0"/>
              <w:right w:val="single" w:color="auto"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Arial" w:hAnsi="Arial" w:eastAsia="宋体" w:cs="Arial"/>
                <w:kern w:val="0"/>
                <w:sz w:val="22"/>
                <w:szCs w:val="22"/>
              </w:rPr>
            </w:pPr>
            <w:r>
              <w:rPr>
                <w:rFonts w:hint="eastAsia" w:ascii="宋体" w:hAnsi="宋体" w:eastAsia="宋体" w:cs="Arial"/>
                <w:kern w:val="0"/>
                <w:sz w:val="22"/>
                <w:szCs w:val="22"/>
              </w:rPr>
              <w:t>收</w:t>
            </w:r>
            <w:r>
              <w:rPr>
                <w:rFonts w:ascii="Arial" w:hAnsi="Arial" w:eastAsia="宋体" w:cs="Arial"/>
                <w:kern w:val="0"/>
                <w:sz w:val="22"/>
                <w:szCs w:val="22"/>
              </w:rPr>
              <w:t xml:space="preserve">  </w:t>
            </w:r>
            <w:r>
              <w:rPr>
                <w:rFonts w:hint="eastAsia" w:ascii="宋体" w:hAnsi="宋体" w:eastAsia="宋体" w:cs="Arial"/>
                <w:kern w:val="0"/>
                <w:sz w:val="22"/>
                <w:szCs w:val="22"/>
              </w:rPr>
              <w:t>入</w:t>
            </w:r>
            <w:r>
              <w:rPr>
                <w:rFonts w:ascii="Arial" w:hAnsi="Arial" w:eastAsia="宋体" w:cs="Arial"/>
                <w:kern w:val="0"/>
                <w:sz w:val="22"/>
                <w:szCs w:val="22"/>
              </w:rPr>
              <w:t xml:space="preserve">  </w:t>
            </w:r>
            <w:r>
              <w:rPr>
                <w:rFonts w:hint="eastAsia" w:ascii="宋体" w:hAnsi="宋体" w:eastAsia="宋体" w:cs="Arial"/>
                <w:kern w:val="0"/>
                <w:sz w:val="22"/>
                <w:szCs w:val="22"/>
              </w:rPr>
              <w:t>总</w:t>
            </w:r>
            <w:r>
              <w:rPr>
                <w:rFonts w:ascii="Arial" w:hAnsi="Arial" w:eastAsia="宋体" w:cs="Arial"/>
                <w:kern w:val="0"/>
                <w:sz w:val="22"/>
                <w:szCs w:val="22"/>
              </w:rPr>
              <w:t xml:space="preserve">  </w:t>
            </w:r>
            <w:r>
              <w:rPr>
                <w:rFonts w:hint="eastAsia" w:ascii="宋体" w:hAnsi="宋体" w:eastAsia="宋体" w:cs="Arial"/>
                <w:kern w:val="0"/>
                <w:sz w:val="22"/>
                <w:szCs w:val="22"/>
              </w:rPr>
              <w:t>计</w:t>
            </w:r>
          </w:p>
        </w:tc>
        <w:tc>
          <w:tcPr>
            <w:tcW w:w="3757"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2"/>
                <w:szCs w:val="22"/>
              </w:rPr>
            </w:pPr>
            <w:r>
              <w:rPr>
                <w:rFonts w:ascii="Arial" w:hAnsi="Arial" w:eastAsia="宋体" w:cs="Arial"/>
                <w:kern w:val="0"/>
                <w:sz w:val="22"/>
                <w:szCs w:val="22"/>
              </w:rPr>
              <w:t xml:space="preserve">29.28 </w:t>
            </w:r>
          </w:p>
        </w:tc>
      </w:tr>
    </w:tbl>
    <w:p/>
    <w:tbl>
      <w:tblPr>
        <w:tblStyle w:val="5"/>
        <w:tblW w:w="8379" w:type="dxa"/>
        <w:tblInd w:w="93" w:type="dxa"/>
        <w:tblLayout w:type="fixed"/>
        <w:tblCellMar>
          <w:top w:w="0" w:type="dxa"/>
          <w:left w:w="108" w:type="dxa"/>
          <w:bottom w:w="0" w:type="dxa"/>
          <w:right w:w="108" w:type="dxa"/>
        </w:tblCellMar>
      </w:tblPr>
      <w:tblGrid>
        <w:gridCol w:w="4480"/>
        <w:gridCol w:w="3899"/>
      </w:tblGrid>
      <w:tr>
        <w:tblPrEx>
          <w:tblLayout w:type="fixed"/>
          <w:tblCellMar>
            <w:top w:w="0" w:type="dxa"/>
            <w:left w:w="108" w:type="dxa"/>
            <w:bottom w:w="0" w:type="dxa"/>
            <w:right w:w="108" w:type="dxa"/>
          </w:tblCellMar>
        </w:tblPrEx>
        <w:trPr>
          <w:trHeight w:val="270" w:hRule="atLeast"/>
        </w:trPr>
        <w:tc>
          <w:tcPr>
            <w:tcW w:w="44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3899" w:type="dxa"/>
            <w:tcBorders>
              <w:top w:val="nil"/>
              <w:left w:val="nil"/>
              <w:bottom w:val="nil"/>
              <w:right w:val="nil"/>
            </w:tcBorders>
            <w:shd w:val="clear" w:color="auto" w:fill="auto"/>
            <w:vAlign w:val="center"/>
          </w:tcPr>
          <w:p>
            <w:pPr>
              <w:widowControl/>
              <w:jc w:val="right"/>
              <w:rPr>
                <w:rFonts w:ascii="宋体" w:hAnsi="宋体" w:eastAsia="宋体" w:cs="Arial"/>
                <w:kern w:val="0"/>
                <w:sz w:val="18"/>
                <w:szCs w:val="18"/>
              </w:rPr>
            </w:pPr>
            <w:r>
              <w:rPr>
                <w:rFonts w:hint="eastAsia" w:ascii="宋体" w:hAnsi="宋体" w:eastAsia="宋体" w:cs="Arial"/>
                <w:kern w:val="0"/>
                <w:sz w:val="18"/>
                <w:szCs w:val="18"/>
              </w:rPr>
              <w:t xml:space="preserve">表3 </w:t>
            </w:r>
          </w:p>
        </w:tc>
      </w:tr>
      <w:tr>
        <w:tblPrEx>
          <w:tblLayout w:type="fixed"/>
          <w:tblCellMar>
            <w:top w:w="0" w:type="dxa"/>
            <w:left w:w="108" w:type="dxa"/>
            <w:bottom w:w="0" w:type="dxa"/>
            <w:right w:w="108" w:type="dxa"/>
          </w:tblCellMar>
        </w:tblPrEx>
        <w:trPr>
          <w:trHeight w:val="499" w:hRule="atLeast"/>
        </w:trPr>
        <w:tc>
          <w:tcPr>
            <w:tcW w:w="8379"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支出总体情况表</w:t>
            </w:r>
          </w:p>
        </w:tc>
      </w:tr>
      <w:tr>
        <w:tblPrEx>
          <w:tblLayout w:type="fixed"/>
          <w:tblCellMar>
            <w:top w:w="0" w:type="dxa"/>
            <w:left w:w="108" w:type="dxa"/>
            <w:bottom w:w="0" w:type="dxa"/>
            <w:right w:w="108" w:type="dxa"/>
          </w:tblCellMar>
        </w:tblPrEx>
        <w:trPr>
          <w:trHeight w:val="435" w:hRule="atLeast"/>
        </w:trPr>
        <w:tc>
          <w:tcPr>
            <w:tcW w:w="44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单位名称：蕉岭县文物保护研究中心</w:t>
            </w:r>
          </w:p>
        </w:tc>
        <w:tc>
          <w:tcPr>
            <w:tcW w:w="3899"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448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3899"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工资福利支出</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16.05</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一般商品和服务支出</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7.61</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对个人和家庭的补助</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5.62</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其他资本性支出等</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日常运转类项目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政府购买服务类项目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科技研发类项目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基本建设类项目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补助企事业类项目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信息化运维类项目</w:t>
            </w:r>
          </w:p>
        </w:tc>
        <w:tc>
          <w:tcPr>
            <w:tcW w:w="3899"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专项业务类项目</w:t>
            </w:r>
          </w:p>
        </w:tc>
        <w:tc>
          <w:tcPr>
            <w:tcW w:w="3899" w:type="dxa"/>
            <w:tcBorders>
              <w:top w:val="nil"/>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因公出国（境）项目</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信息系统建设类项目</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支 出 合 计</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29.28</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899"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支　出　总　计</w:t>
            </w:r>
          </w:p>
        </w:tc>
        <w:tc>
          <w:tcPr>
            <w:tcW w:w="389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2"/>
                <w:szCs w:val="22"/>
              </w:rPr>
            </w:pPr>
            <w:r>
              <w:rPr>
                <w:rFonts w:ascii="Arial" w:hAnsi="Arial" w:eastAsia="宋体" w:cs="Arial"/>
                <w:kern w:val="0"/>
                <w:sz w:val="22"/>
                <w:szCs w:val="22"/>
              </w:rPr>
              <w:t xml:space="preserve">29.28 </w:t>
            </w:r>
          </w:p>
        </w:tc>
      </w:tr>
    </w:tbl>
    <w:p/>
    <w:tbl>
      <w:tblPr>
        <w:tblStyle w:val="5"/>
        <w:tblW w:w="8340" w:type="dxa"/>
        <w:tblInd w:w="93" w:type="dxa"/>
        <w:tblLayout w:type="fixed"/>
        <w:tblCellMar>
          <w:top w:w="0" w:type="dxa"/>
          <w:left w:w="108" w:type="dxa"/>
          <w:bottom w:w="0" w:type="dxa"/>
          <w:right w:w="108" w:type="dxa"/>
        </w:tblCellMar>
      </w:tblPr>
      <w:tblGrid>
        <w:gridCol w:w="2440"/>
        <w:gridCol w:w="1840"/>
        <w:gridCol w:w="2380"/>
        <w:gridCol w:w="1680"/>
      </w:tblGrid>
      <w:tr>
        <w:tblPrEx>
          <w:tblLayout w:type="fixed"/>
          <w:tblCellMar>
            <w:top w:w="0" w:type="dxa"/>
            <w:left w:w="108" w:type="dxa"/>
            <w:bottom w:w="0" w:type="dxa"/>
            <w:right w:w="108" w:type="dxa"/>
          </w:tblCellMar>
        </w:tblPrEx>
        <w:trPr>
          <w:trHeight w:val="402" w:hRule="atLeast"/>
        </w:trPr>
        <w:tc>
          <w:tcPr>
            <w:tcW w:w="244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184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3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1680"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表4</w:t>
            </w:r>
          </w:p>
        </w:tc>
      </w:tr>
      <w:tr>
        <w:tblPrEx>
          <w:tblLayout w:type="fixed"/>
          <w:tblCellMar>
            <w:top w:w="0" w:type="dxa"/>
            <w:left w:w="108" w:type="dxa"/>
            <w:bottom w:w="0" w:type="dxa"/>
            <w:right w:w="108" w:type="dxa"/>
          </w:tblCellMar>
        </w:tblPrEx>
        <w:trPr>
          <w:trHeight w:val="499" w:hRule="atLeast"/>
        </w:trPr>
        <w:tc>
          <w:tcPr>
            <w:tcW w:w="8340" w:type="dxa"/>
            <w:gridSpan w:val="4"/>
            <w:tcBorders>
              <w:top w:val="nil"/>
              <w:left w:val="nil"/>
              <w:bottom w:val="nil"/>
              <w:right w:val="nil"/>
            </w:tcBorders>
            <w:shd w:val="clear" w:color="auto" w:fill="auto"/>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财政拨款收支总体情况表</w:t>
            </w:r>
          </w:p>
        </w:tc>
      </w:tr>
      <w:tr>
        <w:tblPrEx>
          <w:tblLayout w:type="fixed"/>
          <w:tblCellMar>
            <w:top w:w="0" w:type="dxa"/>
            <w:left w:w="108" w:type="dxa"/>
            <w:bottom w:w="0" w:type="dxa"/>
            <w:right w:w="108" w:type="dxa"/>
          </w:tblCellMar>
        </w:tblPrEx>
        <w:trPr>
          <w:trHeight w:val="402" w:hRule="atLeast"/>
        </w:trPr>
        <w:tc>
          <w:tcPr>
            <w:tcW w:w="4280" w:type="dxa"/>
            <w:gridSpan w:val="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单位名称：蕉岭县文物保护研究中心</w:t>
            </w:r>
          </w:p>
        </w:tc>
        <w:tc>
          <w:tcPr>
            <w:tcW w:w="23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1680"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702" w:hRule="atLeast"/>
        </w:trPr>
        <w:tc>
          <w:tcPr>
            <w:tcW w:w="428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06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8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29.28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6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29.28 </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8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6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w:t>
            </w:r>
          </w:p>
        </w:tc>
        <w:tc>
          <w:tcPr>
            <w:tcW w:w="1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8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29.28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6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29.28 </w:t>
            </w:r>
          </w:p>
        </w:tc>
      </w:tr>
    </w:tbl>
    <w:p/>
    <w:p/>
    <w:p/>
    <w:p/>
    <w:p/>
    <w:p/>
    <w:p/>
    <w:p/>
    <w:p/>
    <w:p/>
    <w:p/>
    <w:p/>
    <w:p/>
    <w:tbl>
      <w:tblPr>
        <w:tblStyle w:val="5"/>
        <w:tblW w:w="8370" w:type="dxa"/>
        <w:tblInd w:w="93" w:type="dxa"/>
        <w:tblLayout w:type="fixed"/>
        <w:tblCellMar>
          <w:top w:w="0" w:type="dxa"/>
          <w:left w:w="108" w:type="dxa"/>
          <w:bottom w:w="0" w:type="dxa"/>
          <w:right w:w="108" w:type="dxa"/>
        </w:tblCellMar>
      </w:tblPr>
      <w:tblGrid>
        <w:gridCol w:w="3230"/>
        <w:gridCol w:w="1960"/>
        <w:gridCol w:w="1960"/>
        <w:gridCol w:w="1220"/>
      </w:tblGrid>
      <w:tr>
        <w:tblPrEx>
          <w:tblLayout w:type="fixed"/>
          <w:tblCellMar>
            <w:top w:w="0" w:type="dxa"/>
            <w:left w:w="108" w:type="dxa"/>
            <w:bottom w:w="0" w:type="dxa"/>
            <w:right w:w="108" w:type="dxa"/>
          </w:tblCellMar>
        </w:tblPrEx>
        <w:trPr>
          <w:trHeight w:val="402" w:hRule="atLeast"/>
        </w:trPr>
        <w:tc>
          <w:tcPr>
            <w:tcW w:w="323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22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表5</w:t>
            </w:r>
          </w:p>
        </w:tc>
      </w:tr>
      <w:tr>
        <w:tblPrEx>
          <w:tblLayout w:type="fixed"/>
          <w:tblCellMar>
            <w:top w:w="0" w:type="dxa"/>
            <w:left w:w="108" w:type="dxa"/>
            <w:bottom w:w="0" w:type="dxa"/>
            <w:right w:w="108" w:type="dxa"/>
          </w:tblCellMar>
        </w:tblPrEx>
        <w:trPr>
          <w:trHeight w:val="499" w:hRule="atLeast"/>
        </w:trPr>
        <w:tc>
          <w:tcPr>
            <w:tcW w:w="837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一般公共预算支出情况表（按功能分类科目）</w:t>
            </w:r>
          </w:p>
        </w:tc>
      </w:tr>
      <w:tr>
        <w:tblPrEx>
          <w:tblLayout w:type="fixed"/>
          <w:tblCellMar>
            <w:top w:w="0" w:type="dxa"/>
            <w:left w:w="108" w:type="dxa"/>
            <w:bottom w:w="0" w:type="dxa"/>
            <w:right w:w="108" w:type="dxa"/>
          </w:tblCellMar>
        </w:tblPrEx>
        <w:trPr>
          <w:trHeight w:val="402" w:hRule="atLeast"/>
        </w:trPr>
        <w:tc>
          <w:tcPr>
            <w:tcW w:w="323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单位名称：蕉岭县文物保护研究中心</w:t>
            </w: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22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3230"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140"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一般公共预算支出</w:t>
            </w:r>
          </w:p>
        </w:tc>
      </w:tr>
      <w:tr>
        <w:tblPrEx>
          <w:tblLayout w:type="fixed"/>
          <w:tblCellMar>
            <w:top w:w="0" w:type="dxa"/>
            <w:left w:w="108" w:type="dxa"/>
            <w:bottom w:w="0" w:type="dxa"/>
            <w:right w:w="108" w:type="dxa"/>
          </w:tblCellMar>
        </w:tblPrEx>
        <w:trPr>
          <w:trHeight w:val="402" w:hRule="atLeast"/>
        </w:trPr>
        <w:tc>
          <w:tcPr>
            <w:tcW w:w="3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22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    计</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22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207文化体育与传媒</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20702文物</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29.28</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2070204文物保护</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23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bl>
    <w:p/>
    <w:p/>
    <w:p/>
    <w:p/>
    <w:p/>
    <w:p/>
    <w:p/>
    <w:tbl>
      <w:tblPr>
        <w:tblStyle w:val="5"/>
        <w:tblW w:w="8670" w:type="dxa"/>
        <w:tblInd w:w="93" w:type="dxa"/>
        <w:tblLayout w:type="fixed"/>
        <w:tblCellMar>
          <w:top w:w="0" w:type="dxa"/>
          <w:left w:w="108" w:type="dxa"/>
          <w:bottom w:w="0" w:type="dxa"/>
          <w:right w:w="108" w:type="dxa"/>
        </w:tblCellMar>
      </w:tblPr>
      <w:tblGrid>
        <w:gridCol w:w="3273"/>
        <w:gridCol w:w="3518"/>
        <w:gridCol w:w="1879"/>
      </w:tblGrid>
      <w:tr>
        <w:tblPrEx>
          <w:tblLayout w:type="fixed"/>
          <w:tblCellMar>
            <w:top w:w="0" w:type="dxa"/>
            <w:left w:w="108" w:type="dxa"/>
            <w:bottom w:w="0" w:type="dxa"/>
            <w:right w:w="108" w:type="dxa"/>
          </w:tblCellMar>
        </w:tblPrEx>
        <w:trPr>
          <w:trHeight w:val="390" w:hRule="atLeast"/>
        </w:trPr>
        <w:tc>
          <w:tcPr>
            <w:tcW w:w="3273"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3518"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1879" w:type="dxa"/>
            <w:tcBorders>
              <w:top w:val="nil"/>
              <w:left w:val="nil"/>
              <w:bottom w:val="nil"/>
              <w:right w:val="nil"/>
            </w:tcBorders>
            <w:shd w:val="clear" w:color="auto" w:fill="auto"/>
            <w:vAlign w:val="center"/>
          </w:tcPr>
          <w:p>
            <w:pPr>
              <w:widowControl/>
              <w:jc w:val="right"/>
              <w:rPr>
                <w:rFonts w:ascii="Arial" w:hAnsi="Arial" w:eastAsia="宋体" w:cs="Arial"/>
                <w:kern w:val="0"/>
                <w:sz w:val="20"/>
                <w:szCs w:val="20"/>
              </w:rPr>
            </w:pPr>
            <w:r>
              <w:rPr>
                <w:rFonts w:hint="eastAsia" w:ascii="宋体" w:hAnsi="宋体" w:eastAsia="宋体" w:cs="Arial"/>
                <w:kern w:val="0"/>
                <w:sz w:val="20"/>
                <w:szCs w:val="20"/>
              </w:rPr>
              <w:t>表</w:t>
            </w:r>
            <w:r>
              <w:rPr>
                <w:rFonts w:ascii="Arial" w:hAnsi="Arial" w:eastAsia="宋体" w:cs="Arial"/>
                <w:kern w:val="0"/>
                <w:sz w:val="20"/>
                <w:szCs w:val="20"/>
              </w:rPr>
              <w:t>6</w:t>
            </w:r>
          </w:p>
        </w:tc>
      </w:tr>
      <w:tr>
        <w:tblPrEx>
          <w:tblLayout w:type="fixed"/>
          <w:tblCellMar>
            <w:top w:w="0" w:type="dxa"/>
            <w:left w:w="108" w:type="dxa"/>
            <w:bottom w:w="0" w:type="dxa"/>
            <w:right w:w="108" w:type="dxa"/>
          </w:tblCellMar>
        </w:tblPrEx>
        <w:trPr>
          <w:trHeight w:val="499" w:hRule="atLeast"/>
        </w:trPr>
        <w:tc>
          <w:tcPr>
            <w:tcW w:w="8670" w:type="dxa"/>
            <w:gridSpan w:val="3"/>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一般公共预算基本支出情况表（按支出经济分类科目）</w:t>
            </w:r>
          </w:p>
        </w:tc>
      </w:tr>
      <w:tr>
        <w:tblPrEx>
          <w:tblLayout w:type="fixed"/>
          <w:tblCellMar>
            <w:top w:w="0" w:type="dxa"/>
            <w:left w:w="108" w:type="dxa"/>
            <w:bottom w:w="0" w:type="dxa"/>
            <w:right w:w="108" w:type="dxa"/>
          </w:tblCellMar>
        </w:tblPrEx>
        <w:trPr>
          <w:trHeight w:val="499" w:hRule="atLeast"/>
        </w:trPr>
        <w:tc>
          <w:tcPr>
            <w:tcW w:w="6791"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单位名称：蕉岭县文物保护研究中心</w:t>
            </w:r>
          </w:p>
        </w:tc>
        <w:tc>
          <w:tcPr>
            <w:tcW w:w="1879"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32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5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18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5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29.28</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518"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518"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30101基本工资</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518"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30102津贴补贴</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518"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30103奖金</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50102社会保障缴费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30112其他社会保障缴费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50103住房公积金</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30228工会经费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30229福利费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30227委托业务费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50207因公出国（境）费用</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30212因公出国（境）费用</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301工资福利支出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16.05</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30101基本工资</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30102津贴补贴</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30103奖金</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30107绩效工资</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7.61</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18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5.62</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30304抚恤金</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30305生活补助</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30309奖励金</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30301离休费</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30302退休费</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5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18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bl>
    <w:p/>
    <w:tbl>
      <w:tblPr>
        <w:tblStyle w:val="5"/>
        <w:tblW w:w="8460" w:type="dxa"/>
        <w:tblInd w:w="93" w:type="dxa"/>
        <w:tblLayout w:type="fixed"/>
        <w:tblCellMar>
          <w:top w:w="0" w:type="dxa"/>
          <w:left w:w="108" w:type="dxa"/>
          <w:bottom w:w="0" w:type="dxa"/>
          <w:right w:w="108" w:type="dxa"/>
        </w:tblCellMar>
      </w:tblPr>
      <w:tblGrid>
        <w:gridCol w:w="3280"/>
        <w:gridCol w:w="3320"/>
        <w:gridCol w:w="1860"/>
      </w:tblGrid>
      <w:tr>
        <w:tblPrEx>
          <w:tblLayout w:type="fixed"/>
          <w:tblCellMar>
            <w:top w:w="0" w:type="dxa"/>
            <w:left w:w="108" w:type="dxa"/>
            <w:bottom w:w="0" w:type="dxa"/>
            <w:right w:w="108" w:type="dxa"/>
          </w:tblCellMar>
        </w:tblPrEx>
        <w:trPr>
          <w:trHeight w:val="390" w:hRule="atLeast"/>
        </w:trPr>
        <w:tc>
          <w:tcPr>
            <w:tcW w:w="3280"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3320"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186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表7</w:t>
            </w:r>
          </w:p>
        </w:tc>
      </w:tr>
      <w:tr>
        <w:tblPrEx>
          <w:tblLayout w:type="fixed"/>
          <w:tblCellMar>
            <w:top w:w="0" w:type="dxa"/>
            <w:left w:w="108" w:type="dxa"/>
            <w:bottom w:w="0" w:type="dxa"/>
            <w:right w:w="108" w:type="dxa"/>
          </w:tblCellMar>
        </w:tblPrEx>
        <w:trPr>
          <w:trHeight w:val="499" w:hRule="atLeast"/>
        </w:trPr>
        <w:tc>
          <w:tcPr>
            <w:tcW w:w="8460" w:type="dxa"/>
            <w:gridSpan w:val="3"/>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一般公共预算项目支出情况表（按支出经济分类科目）</w:t>
            </w:r>
          </w:p>
        </w:tc>
      </w:tr>
      <w:tr>
        <w:tblPrEx>
          <w:tblLayout w:type="fixed"/>
          <w:tblCellMar>
            <w:top w:w="0" w:type="dxa"/>
            <w:left w:w="108" w:type="dxa"/>
            <w:bottom w:w="0" w:type="dxa"/>
            <w:right w:w="108" w:type="dxa"/>
          </w:tblCellMar>
        </w:tblPrEx>
        <w:trPr>
          <w:trHeight w:val="499" w:hRule="atLeast"/>
        </w:trPr>
        <w:tc>
          <w:tcPr>
            <w:tcW w:w="32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单位名称：蕉岭县文物保护研究中心</w:t>
            </w:r>
          </w:p>
        </w:tc>
        <w:tc>
          <w:tcPr>
            <w:tcW w:w="332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86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3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18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3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18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无</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3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50301房屋建筑物构建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31001房屋建筑物构建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50303公务用车购置</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31013公务用车购置</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31003专用设备购置</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31007信息网络及软件购置更新</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50307大型修缮</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31006大型修缮</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50399其他资本性支出</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31099其他资本性支出</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18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bl>
    <w:p/>
    <w:tbl>
      <w:tblPr>
        <w:tblStyle w:val="5"/>
        <w:tblW w:w="8670" w:type="dxa"/>
        <w:tblInd w:w="93" w:type="dxa"/>
        <w:tblLayout w:type="fixed"/>
        <w:tblCellMar>
          <w:top w:w="0" w:type="dxa"/>
          <w:left w:w="108" w:type="dxa"/>
          <w:bottom w:w="0" w:type="dxa"/>
          <w:right w:w="108" w:type="dxa"/>
        </w:tblCellMar>
      </w:tblPr>
      <w:tblGrid>
        <w:gridCol w:w="5495"/>
        <w:gridCol w:w="3175"/>
      </w:tblGrid>
      <w:tr>
        <w:tblPrEx>
          <w:tblLayout w:type="fixed"/>
          <w:tblCellMar>
            <w:top w:w="0" w:type="dxa"/>
            <w:left w:w="108" w:type="dxa"/>
            <w:bottom w:w="0" w:type="dxa"/>
            <w:right w:w="108" w:type="dxa"/>
          </w:tblCellMar>
        </w:tblPrEx>
        <w:trPr>
          <w:trHeight w:val="499" w:hRule="atLeast"/>
        </w:trPr>
        <w:tc>
          <w:tcPr>
            <w:tcW w:w="5495" w:type="dxa"/>
            <w:tcBorders>
              <w:top w:val="nil"/>
              <w:left w:val="nil"/>
              <w:bottom w:val="nil"/>
              <w:right w:val="nil"/>
            </w:tcBorders>
            <w:shd w:val="clear" w:color="auto" w:fill="auto"/>
            <w:vAlign w:val="center"/>
          </w:tcPr>
          <w:p>
            <w:pPr>
              <w:widowControl/>
              <w:jc w:val="left"/>
              <w:rPr>
                <w:rFonts w:ascii="Arial" w:hAnsi="Arial" w:eastAsia="宋体" w:cs="Arial"/>
                <w:kern w:val="0"/>
                <w:sz w:val="24"/>
              </w:rPr>
            </w:pPr>
          </w:p>
        </w:tc>
        <w:tc>
          <w:tcPr>
            <w:tcW w:w="3175" w:type="dxa"/>
            <w:tcBorders>
              <w:top w:val="nil"/>
              <w:left w:val="nil"/>
              <w:bottom w:val="nil"/>
              <w:right w:val="nil"/>
            </w:tcBorders>
            <w:shd w:val="clear" w:color="auto" w:fill="auto"/>
            <w:vAlign w:val="center"/>
          </w:tcPr>
          <w:p>
            <w:pPr>
              <w:widowControl/>
              <w:jc w:val="right"/>
              <w:rPr>
                <w:rFonts w:ascii="Arial" w:hAnsi="Arial" w:eastAsia="宋体" w:cs="Arial"/>
                <w:kern w:val="0"/>
                <w:sz w:val="24"/>
              </w:rPr>
            </w:pPr>
            <w:r>
              <w:rPr>
                <w:rFonts w:hint="eastAsia" w:ascii="宋体" w:hAnsi="宋体" w:eastAsia="宋体" w:cs="Arial"/>
                <w:kern w:val="0"/>
                <w:sz w:val="24"/>
              </w:rPr>
              <w:t>表</w:t>
            </w:r>
            <w:r>
              <w:rPr>
                <w:rFonts w:ascii="Arial" w:hAnsi="Arial" w:eastAsia="宋体" w:cs="Arial"/>
                <w:kern w:val="0"/>
                <w:sz w:val="24"/>
              </w:rPr>
              <w:t>8</w:t>
            </w:r>
          </w:p>
        </w:tc>
      </w:tr>
      <w:tr>
        <w:tblPrEx>
          <w:tblLayout w:type="fixed"/>
          <w:tblCellMar>
            <w:top w:w="0" w:type="dxa"/>
            <w:left w:w="108" w:type="dxa"/>
            <w:bottom w:w="0" w:type="dxa"/>
            <w:right w:w="108" w:type="dxa"/>
          </w:tblCellMar>
        </w:tblPrEx>
        <w:trPr>
          <w:trHeight w:val="499" w:hRule="atLeast"/>
        </w:trPr>
        <w:tc>
          <w:tcPr>
            <w:tcW w:w="8670" w:type="dxa"/>
            <w:gridSpan w:val="2"/>
            <w:tcBorders>
              <w:top w:val="nil"/>
              <w:left w:val="nil"/>
              <w:bottom w:val="nil"/>
              <w:right w:val="nil"/>
            </w:tcBorders>
            <w:shd w:val="clear" w:color="auto" w:fill="auto"/>
            <w:vAlign w:val="center"/>
          </w:tcPr>
          <w:p>
            <w:pPr>
              <w:widowControl/>
              <w:jc w:val="center"/>
              <w:rPr>
                <w:rFonts w:ascii="Arial" w:hAnsi="Arial" w:eastAsia="宋体" w:cs="Arial"/>
                <w:b/>
                <w:bCs/>
                <w:kern w:val="0"/>
                <w:sz w:val="32"/>
                <w:szCs w:val="32"/>
              </w:rPr>
            </w:pPr>
            <w:r>
              <w:rPr>
                <w:rFonts w:hint="eastAsia" w:ascii="宋体" w:hAnsi="宋体" w:eastAsia="宋体" w:cs="Arial"/>
                <w:b/>
                <w:bCs/>
                <w:kern w:val="0"/>
                <w:sz w:val="32"/>
                <w:szCs w:val="32"/>
              </w:rPr>
              <w:t>一般公共预算安排的行政经费及</w:t>
            </w:r>
            <w:r>
              <w:rPr>
                <w:rFonts w:ascii="Arial" w:hAnsi="Arial" w:eastAsia="宋体" w:cs="Arial"/>
                <w:b/>
                <w:bCs/>
                <w:kern w:val="0"/>
                <w:sz w:val="32"/>
                <w:szCs w:val="32"/>
              </w:rPr>
              <w:t>“</w:t>
            </w:r>
            <w:r>
              <w:rPr>
                <w:rFonts w:hint="eastAsia" w:ascii="宋体" w:hAnsi="宋体" w:eastAsia="宋体" w:cs="Arial"/>
                <w:b/>
                <w:bCs/>
                <w:kern w:val="0"/>
                <w:sz w:val="32"/>
                <w:szCs w:val="32"/>
              </w:rPr>
              <w:t>三公</w:t>
            </w:r>
            <w:r>
              <w:rPr>
                <w:rFonts w:ascii="Arial" w:hAnsi="Arial" w:eastAsia="宋体" w:cs="Arial"/>
                <w:b/>
                <w:bCs/>
                <w:kern w:val="0"/>
                <w:sz w:val="32"/>
                <w:szCs w:val="32"/>
              </w:rPr>
              <w:t>”</w:t>
            </w:r>
            <w:r>
              <w:rPr>
                <w:rFonts w:hint="eastAsia" w:ascii="宋体" w:hAnsi="宋体" w:eastAsia="宋体" w:cs="Arial"/>
                <w:b/>
                <w:bCs/>
                <w:kern w:val="0"/>
                <w:sz w:val="32"/>
                <w:szCs w:val="32"/>
              </w:rPr>
              <w:t>经费预算表</w:t>
            </w:r>
          </w:p>
        </w:tc>
      </w:tr>
      <w:tr>
        <w:tblPrEx>
          <w:tblLayout w:type="fixed"/>
          <w:tblCellMar>
            <w:top w:w="0" w:type="dxa"/>
            <w:left w:w="108" w:type="dxa"/>
            <w:bottom w:w="0" w:type="dxa"/>
            <w:right w:w="108" w:type="dxa"/>
          </w:tblCellMar>
        </w:tblPrEx>
        <w:trPr>
          <w:trHeight w:val="499" w:hRule="atLeast"/>
        </w:trPr>
        <w:tc>
          <w:tcPr>
            <w:tcW w:w="5495" w:type="dxa"/>
            <w:tcBorders>
              <w:top w:val="nil"/>
              <w:left w:val="nil"/>
              <w:bottom w:val="nil"/>
              <w:right w:val="nil"/>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单位名称：蕉岭县文物保护研究中心</w:t>
            </w:r>
          </w:p>
        </w:tc>
        <w:tc>
          <w:tcPr>
            <w:tcW w:w="3175" w:type="dxa"/>
            <w:tcBorders>
              <w:top w:val="nil"/>
              <w:left w:val="nil"/>
              <w:bottom w:val="nil"/>
              <w:right w:val="nil"/>
            </w:tcBorders>
            <w:shd w:val="clear" w:color="auto" w:fill="auto"/>
            <w:vAlign w:val="center"/>
          </w:tcPr>
          <w:p>
            <w:pPr>
              <w:widowControl/>
              <w:jc w:val="right"/>
              <w:rPr>
                <w:rFonts w:ascii="宋体" w:hAnsi="宋体" w:eastAsia="宋体" w:cs="Arial"/>
                <w:kern w:val="0"/>
                <w:sz w:val="24"/>
              </w:rPr>
            </w:pPr>
            <w:r>
              <w:rPr>
                <w:rFonts w:hint="eastAsia" w:ascii="宋体" w:hAnsi="宋体" w:eastAsia="宋体" w:cs="Arial"/>
                <w:kern w:val="0"/>
                <w:sz w:val="24"/>
              </w:rPr>
              <w:t>单位：万元</w:t>
            </w:r>
          </w:p>
        </w:tc>
      </w:tr>
      <w:tr>
        <w:tblPrEx>
          <w:tblLayout w:type="fixed"/>
          <w:tblCellMar>
            <w:top w:w="0" w:type="dxa"/>
            <w:left w:w="108" w:type="dxa"/>
            <w:bottom w:w="0" w:type="dxa"/>
            <w:right w:w="108" w:type="dxa"/>
          </w:tblCellMar>
        </w:tblPrEx>
        <w:trPr>
          <w:trHeight w:val="499" w:hRule="atLeast"/>
        </w:trPr>
        <w:tc>
          <w:tcPr>
            <w:tcW w:w="5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项    目</w:t>
            </w:r>
          </w:p>
        </w:tc>
        <w:tc>
          <w:tcPr>
            <w:tcW w:w="31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行政经费</w:t>
            </w:r>
          </w:p>
        </w:tc>
        <w:tc>
          <w:tcPr>
            <w:tcW w:w="3175"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29.28</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w:t>
            </w:r>
            <w:r>
              <w:rPr>
                <w:rFonts w:hint="eastAsia" w:ascii="宋体" w:hAnsi="宋体" w:eastAsia="宋体" w:cs="Arial"/>
                <w:kern w:val="0"/>
                <w:sz w:val="24"/>
              </w:rPr>
              <w:t>三公”经费</w:t>
            </w:r>
          </w:p>
        </w:tc>
        <w:tc>
          <w:tcPr>
            <w:tcW w:w="3175"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1.5</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其中：（一）因公出国（境）支出</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（二）公务用车购置及运行维护支出</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1</w:t>
            </w:r>
            <w:r>
              <w:rPr>
                <w:rFonts w:hint="eastAsia" w:ascii="宋体" w:hAnsi="宋体" w:eastAsia="宋体" w:cs="Arial"/>
                <w:kern w:val="0"/>
                <w:sz w:val="24"/>
              </w:rPr>
              <w:t>、公务用车购置</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2</w:t>
            </w:r>
            <w:r>
              <w:rPr>
                <w:rFonts w:hint="eastAsia" w:ascii="宋体" w:hAnsi="宋体" w:eastAsia="宋体" w:cs="Arial"/>
                <w:kern w:val="0"/>
                <w:sz w:val="24"/>
              </w:rPr>
              <w:t>、公务用车运行维护费</w:t>
            </w:r>
          </w:p>
        </w:tc>
        <w:tc>
          <w:tcPr>
            <w:tcW w:w="3175"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1.5</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（三）公务接待费支出</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54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8670" w:type="dxa"/>
            <w:gridSpan w:val="2"/>
            <w:vMerge w:val="restart"/>
            <w:tcBorders>
              <w:top w:val="single" w:color="auto" w:sz="4" w:space="0"/>
              <w:left w:val="nil"/>
              <w:bottom w:val="nil"/>
              <w:right w:val="nil"/>
            </w:tcBorders>
            <w:shd w:val="clear" w:color="auto" w:fill="auto"/>
          </w:tcPr>
          <w:p>
            <w:pPr>
              <w:widowControl/>
              <w:jc w:val="left"/>
              <w:rPr>
                <w:rFonts w:ascii="宋体" w:hAnsi="宋体" w:eastAsia="宋体" w:cs="Arial"/>
                <w:kern w:val="0"/>
                <w:sz w:val="20"/>
                <w:szCs w:val="20"/>
              </w:rPr>
            </w:pPr>
            <w:r>
              <w:rPr>
                <w:rFonts w:hint="eastAsia" w:ascii="宋体" w:hAnsi="宋体" w:eastAsia="宋体" w:cs="Arial"/>
                <w:kern w:val="0"/>
                <w:sz w:val="20"/>
                <w:szCs w:val="20"/>
              </w:rPr>
              <w:t>注：</w:t>
            </w:r>
            <w:r>
              <w:rPr>
                <w:rFonts w:hint="eastAsia" w:ascii="宋体" w:hAnsi="宋体" w:eastAsia="宋体" w:cs="Arial"/>
                <w:kern w:val="0"/>
                <w:sz w:val="20"/>
                <w:szCs w:val="20"/>
              </w:rPr>
              <w:br w:type="textWrapping"/>
            </w:r>
            <w:r>
              <w:rPr>
                <w:rFonts w:hint="eastAsia" w:ascii="宋体" w:hAnsi="宋体" w:eastAsia="宋体" w:cs="Arial"/>
                <w:kern w:val="0"/>
                <w:sz w:val="20"/>
                <w:szCs w:val="20"/>
              </w:rP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Pr>
                <w:rFonts w:hint="eastAsia" w:ascii="宋体" w:hAnsi="宋体" w:eastAsia="宋体" w:cs="Arial"/>
                <w:kern w:val="0"/>
                <w:sz w:val="20"/>
                <w:szCs w:val="20"/>
              </w:rPr>
              <w:br w:type="textWrapping"/>
            </w:r>
            <w:r>
              <w:rPr>
                <w:rFonts w:hint="eastAsia" w:ascii="宋体" w:hAnsi="宋体" w:eastAsia="宋体" w:cs="Arial"/>
                <w:kern w:val="0"/>
                <w:sz w:val="20"/>
                <w:szCs w:val="20"/>
              </w:rPr>
              <w:br w:type="textWrapping"/>
            </w:r>
            <w:r>
              <w:rPr>
                <w:rFonts w:hint="eastAsia" w:ascii="宋体" w:hAnsi="宋体" w:eastAsia="宋体" w:cs="Arial"/>
                <w:kern w:val="0"/>
                <w:sz w:val="20"/>
                <w:szCs w:val="20"/>
              </w:rP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tblPrEx>
          <w:tblLayout w:type="fixed"/>
          <w:tblCellMar>
            <w:top w:w="0" w:type="dxa"/>
            <w:left w:w="108" w:type="dxa"/>
            <w:bottom w:w="0" w:type="dxa"/>
            <w:right w:w="108" w:type="dxa"/>
          </w:tblCellMar>
        </w:tblPrEx>
        <w:trPr>
          <w:trHeight w:val="499" w:hRule="atLeast"/>
        </w:trPr>
        <w:tc>
          <w:tcPr>
            <w:tcW w:w="867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867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867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867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867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bl>
    <w:p/>
    <w:tbl>
      <w:tblPr>
        <w:tblStyle w:val="5"/>
        <w:tblW w:w="8020" w:type="dxa"/>
        <w:tblInd w:w="93" w:type="dxa"/>
        <w:tblLayout w:type="fixed"/>
        <w:tblCellMar>
          <w:top w:w="0" w:type="dxa"/>
          <w:left w:w="108" w:type="dxa"/>
          <w:bottom w:w="0" w:type="dxa"/>
          <w:right w:w="108" w:type="dxa"/>
        </w:tblCellMar>
      </w:tblPr>
      <w:tblGrid>
        <w:gridCol w:w="2140"/>
        <w:gridCol w:w="1960"/>
        <w:gridCol w:w="1960"/>
        <w:gridCol w:w="1960"/>
      </w:tblGrid>
      <w:tr>
        <w:tblPrEx>
          <w:tblLayout w:type="fixed"/>
          <w:tblCellMar>
            <w:top w:w="0" w:type="dxa"/>
            <w:left w:w="108" w:type="dxa"/>
            <w:bottom w:w="0" w:type="dxa"/>
            <w:right w:w="108" w:type="dxa"/>
          </w:tblCellMar>
        </w:tblPrEx>
        <w:trPr>
          <w:trHeight w:val="360" w:hRule="atLeast"/>
        </w:trPr>
        <w:tc>
          <w:tcPr>
            <w:tcW w:w="21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表9</w:t>
            </w:r>
          </w:p>
        </w:tc>
      </w:tr>
      <w:tr>
        <w:tblPrEx>
          <w:tblLayout w:type="fixed"/>
          <w:tblCellMar>
            <w:top w:w="0" w:type="dxa"/>
            <w:left w:w="108" w:type="dxa"/>
            <w:bottom w:w="0" w:type="dxa"/>
            <w:right w:w="108" w:type="dxa"/>
          </w:tblCellMar>
        </w:tblPrEx>
        <w:trPr>
          <w:trHeight w:val="540" w:hRule="atLeast"/>
        </w:trPr>
        <w:tc>
          <w:tcPr>
            <w:tcW w:w="802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6"/>
                <w:szCs w:val="36"/>
              </w:rPr>
            </w:pPr>
            <w:r>
              <w:rPr>
                <w:rFonts w:hint="eastAsia" w:ascii="宋体" w:hAnsi="宋体" w:eastAsia="宋体" w:cs="Arial"/>
                <w:b/>
                <w:bCs/>
                <w:color w:val="000000"/>
                <w:kern w:val="0"/>
                <w:sz w:val="36"/>
                <w:szCs w:val="36"/>
              </w:rPr>
              <w:t>2016年政府性基金预算支出情况表</w:t>
            </w:r>
          </w:p>
        </w:tc>
      </w:tr>
      <w:tr>
        <w:tblPrEx>
          <w:tblLayout w:type="fixed"/>
          <w:tblCellMar>
            <w:top w:w="0" w:type="dxa"/>
            <w:left w:w="108" w:type="dxa"/>
            <w:bottom w:w="0" w:type="dxa"/>
            <w:right w:w="108" w:type="dxa"/>
          </w:tblCellMar>
        </w:tblPrEx>
        <w:trPr>
          <w:trHeight w:val="499" w:hRule="atLeast"/>
        </w:trPr>
        <w:tc>
          <w:tcPr>
            <w:tcW w:w="214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w:t>
            </w:r>
          </w:p>
        </w:tc>
        <w:tc>
          <w:tcPr>
            <w:tcW w:w="3920" w:type="dxa"/>
            <w:gridSpan w:val="2"/>
            <w:tcBorders>
              <w:top w:val="nil"/>
              <w:left w:val="nil"/>
              <w:bottom w:val="nil"/>
              <w:right w:val="nil"/>
            </w:tcBorders>
            <w:shd w:val="clear" w:color="auto" w:fill="auto"/>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蕉岭县文物保护研究中心</w:t>
            </w:r>
          </w:p>
        </w:tc>
        <w:tc>
          <w:tcPr>
            <w:tcW w:w="196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2140"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880"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政府性基金预算支出</w:t>
            </w:r>
          </w:p>
        </w:tc>
      </w:tr>
      <w:tr>
        <w:tblPrEx>
          <w:tblLayout w:type="fixed"/>
          <w:tblCellMar>
            <w:top w:w="0" w:type="dxa"/>
            <w:left w:w="108" w:type="dxa"/>
            <w:bottom w:w="0" w:type="dxa"/>
            <w:right w:w="108" w:type="dxa"/>
          </w:tblCellMar>
        </w:tblPrEx>
        <w:trPr>
          <w:trHeight w:val="499" w:hRule="atLeast"/>
        </w:trPr>
        <w:tc>
          <w:tcPr>
            <w:tcW w:w="21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499" w:hRule="atLeast"/>
        </w:trPr>
        <w:tc>
          <w:tcPr>
            <w:tcW w:w="214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无</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99" w:hRule="atLeast"/>
        </w:trPr>
        <w:tc>
          <w:tcPr>
            <w:tcW w:w="2140"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2140"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2140"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8020"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注：如该部门无政府性基金安排的支出，则本表为空。同时按照财政部有关要求，以空表呈报人代会审议。</w:t>
            </w:r>
          </w:p>
        </w:tc>
      </w:tr>
    </w:tbl>
    <w:p/>
    <w:p/>
    <w:p/>
    <w:p/>
    <w:p/>
    <w:p/>
    <w:p/>
    <w:p/>
    <w:p/>
    <w:p/>
    <w:p/>
    <w:p/>
    <w:p/>
    <w:tbl>
      <w:tblPr>
        <w:tblStyle w:val="5"/>
        <w:tblW w:w="8330" w:type="dxa"/>
        <w:tblInd w:w="93" w:type="dxa"/>
        <w:tblLayout w:type="fixed"/>
        <w:tblCellMar>
          <w:top w:w="0" w:type="dxa"/>
          <w:left w:w="108" w:type="dxa"/>
          <w:bottom w:w="0" w:type="dxa"/>
          <w:right w:w="108" w:type="dxa"/>
        </w:tblCellMar>
      </w:tblPr>
      <w:tblGrid>
        <w:gridCol w:w="2380"/>
        <w:gridCol w:w="940"/>
        <w:gridCol w:w="940"/>
        <w:gridCol w:w="940"/>
        <w:gridCol w:w="700"/>
        <w:gridCol w:w="700"/>
        <w:gridCol w:w="700"/>
        <w:gridCol w:w="1030"/>
      </w:tblGrid>
      <w:tr>
        <w:tblPrEx>
          <w:tblLayout w:type="fixed"/>
          <w:tblCellMar>
            <w:top w:w="0" w:type="dxa"/>
            <w:left w:w="108" w:type="dxa"/>
            <w:bottom w:w="0" w:type="dxa"/>
            <w:right w:w="108" w:type="dxa"/>
          </w:tblCellMar>
        </w:tblPrEx>
        <w:trPr>
          <w:trHeight w:val="402" w:hRule="atLeast"/>
        </w:trPr>
        <w:tc>
          <w:tcPr>
            <w:tcW w:w="23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9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9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9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7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7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7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表10</w:t>
            </w:r>
          </w:p>
        </w:tc>
      </w:tr>
      <w:tr>
        <w:tblPrEx>
          <w:tblLayout w:type="fixed"/>
          <w:tblCellMar>
            <w:top w:w="0" w:type="dxa"/>
            <w:left w:w="108" w:type="dxa"/>
            <w:bottom w:w="0" w:type="dxa"/>
            <w:right w:w="108" w:type="dxa"/>
          </w:tblCellMar>
        </w:tblPrEx>
        <w:trPr>
          <w:trHeight w:val="499" w:hRule="atLeast"/>
        </w:trPr>
        <w:tc>
          <w:tcPr>
            <w:tcW w:w="8330" w:type="dxa"/>
            <w:gridSpan w:val="8"/>
            <w:tcBorders>
              <w:top w:val="nil"/>
              <w:left w:val="nil"/>
              <w:bottom w:val="nil"/>
              <w:right w:val="nil"/>
            </w:tcBorders>
            <w:shd w:val="clear" w:color="auto" w:fill="auto"/>
            <w:vAlign w:val="center"/>
          </w:tcPr>
          <w:p>
            <w:pPr>
              <w:widowControl/>
              <w:jc w:val="center"/>
              <w:rPr>
                <w:rFonts w:ascii="宋体" w:hAnsi="宋体" w:eastAsia="宋体" w:cs="Arial"/>
                <w:b/>
                <w:bCs/>
                <w:kern w:val="0"/>
                <w:sz w:val="28"/>
                <w:szCs w:val="28"/>
              </w:rPr>
            </w:pPr>
            <w:r>
              <w:rPr>
                <w:rFonts w:hint="eastAsia" w:ascii="宋体" w:hAnsi="宋体" w:eastAsia="宋体" w:cs="Arial"/>
                <w:b/>
                <w:bCs/>
                <w:kern w:val="0"/>
                <w:sz w:val="28"/>
                <w:szCs w:val="28"/>
              </w:rPr>
              <w:t>2016年部门预算基本支出预算表</w:t>
            </w:r>
          </w:p>
        </w:tc>
      </w:tr>
      <w:tr>
        <w:tblPrEx>
          <w:tblLayout w:type="fixed"/>
          <w:tblCellMar>
            <w:top w:w="0" w:type="dxa"/>
            <w:left w:w="108" w:type="dxa"/>
            <w:bottom w:w="0" w:type="dxa"/>
            <w:right w:w="108" w:type="dxa"/>
          </w:tblCellMar>
        </w:tblPrEx>
        <w:trPr>
          <w:trHeight w:val="402" w:hRule="atLeast"/>
        </w:trPr>
        <w:tc>
          <w:tcPr>
            <w:tcW w:w="23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单位名称：</w:t>
            </w:r>
          </w:p>
        </w:tc>
        <w:tc>
          <w:tcPr>
            <w:tcW w:w="2820" w:type="dxa"/>
            <w:gridSpan w:val="3"/>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蕉岭县文物保护研究中心</w:t>
            </w:r>
          </w:p>
        </w:tc>
        <w:tc>
          <w:tcPr>
            <w:tcW w:w="7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7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7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23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支出项目类别（资金使用单位）</w:t>
            </w:r>
          </w:p>
        </w:tc>
        <w:tc>
          <w:tcPr>
            <w:tcW w:w="9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总计</w:t>
            </w:r>
          </w:p>
        </w:tc>
        <w:tc>
          <w:tcPr>
            <w:tcW w:w="32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财政拨款</w:t>
            </w:r>
          </w:p>
        </w:tc>
        <w:tc>
          <w:tcPr>
            <w:tcW w:w="7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财政专户拨款</w:t>
            </w:r>
          </w:p>
        </w:tc>
        <w:tc>
          <w:tcPr>
            <w:tcW w:w="103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其他资金</w:t>
            </w:r>
          </w:p>
        </w:tc>
      </w:tr>
      <w:tr>
        <w:tblPrEx>
          <w:tblLayout w:type="fixed"/>
          <w:tblCellMar>
            <w:top w:w="0" w:type="dxa"/>
            <w:left w:w="108" w:type="dxa"/>
            <w:bottom w:w="0" w:type="dxa"/>
            <w:right w:w="108" w:type="dxa"/>
          </w:tblCellMar>
        </w:tblPrEx>
        <w:trPr>
          <w:trHeight w:val="600" w:hRule="atLeast"/>
        </w:trPr>
        <w:tc>
          <w:tcPr>
            <w:tcW w:w="23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9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94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合计</w:t>
            </w:r>
          </w:p>
        </w:tc>
        <w:tc>
          <w:tcPr>
            <w:tcW w:w="94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w:t>
            </w:r>
          </w:p>
        </w:tc>
        <w:tc>
          <w:tcPr>
            <w:tcW w:w="7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w:t>
            </w:r>
          </w:p>
        </w:tc>
        <w:tc>
          <w:tcPr>
            <w:tcW w:w="7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国有资本经营预算</w:t>
            </w:r>
          </w:p>
        </w:tc>
        <w:tc>
          <w:tcPr>
            <w:tcW w:w="7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1 </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2 </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3 </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4 </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5 </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6 </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7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29.28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29.28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29.28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工资福利支出</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16.05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16.05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16.05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商品和服务支出</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7.61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7.61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7.61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对个人和家庭的补助</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5.62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5.62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5.62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238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bl>
    <w:p/>
    <w:tbl>
      <w:tblPr>
        <w:tblStyle w:val="5"/>
        <w:tblW w:w="9010" w:type="dxa"/>
        <w:tblInd w:w="93" w:type="dxa"/>
        <w:tblLayout w:type="fixed"/>
        <w:tblCellMar>
          <w:top w:w="0" w:type="dxa"/>
          <w:left w:w="108" w:type="dxa"/>
          <w:bottom w:w="0" w:type="dxa"/>
          <w:right w:w="108" w:type="dxa"/>
        </w:tblCellMar>
      </w:tblPr>
      <w:tblGrid>
        <w:gridCol w:w="1640"/>
        <w:gridCol w:w="1240"/>
        <w:gridCol w:w="880"/>
        <w:gridCol w:w="880"/>
        <w:gridCol w:w="880"/>
        <w:gridCol w:w="880"/>
        <w:gridCol w:w="700"/>
        <w:gridCol w:w="880"/>
        <w:gridCol w:w="1030"/>
      </w:tblGrid>
      <w:tr>
        <w:tblPrEx>
          <w:tblLayout w:type="fixed"/>
          <w:tblCellMar>
            <w:top w:w="0" w:type="dxa"/>
            <w:left w:w="108" w:type="dxa"/>
            <w:bottom w:w="0" w:type="dxa"/>
            <w:right w:w="108" w:type="dxa"/>
          </w:tblCellMar>
        </w:tblPrEx>
        <w:trPr>
          <w:trHeight w:val="402" w:hRule="atLeast"/>
        </w:trPr>
        <w:tc>
          <w:tcPr>
            <w:tcW w:w="16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24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7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表11</w:t>
            </w:r>
          </w:p>
        </w:tc>
      </w:tr>
      <w:tr>
        <w:tblPrEx>
          <w:tblLayout w:type="fixed"/>
          <w:tblCellMar>
            <w:top w:w="0" w:type="dxa"/>
            <w:left w:w="108" w:type="dxa"/>
            <w:bottom w:w="0" w:type="dxa"/>
            <w:right w:w="108" w:type="dxa"/>
          </w:tblCellMar>
        </w:tblPrEx>
        <w:trPr>
          <w:trHeight w:val="499" w:hRule="atLeast"/>
        </w:trPr>
        <w:tc>
          <w:tcPr>
            <w:tcW w:w="9010" w:type="dxa"/>
            <w:gridSpan w:val="9"/>
            <w:tcBorders>
              <w:top w:val="nil"/>
              <w:left w:val="nil"/>
              <w:bottom w:val="nil"/>
              <w:right w:val="nil"/>
            </w:tcBorders>
            <w:shd w:val="clear" w:color="auto" w:fill="auto"/>
            <w:vAlign w:val="center"/>
          </w:tcPr>
          <w:p>
            <w:pPr>
              <w:widowControl/>
              <w:jc w:val="center"/>
              <w:rPr>
                <w:rFonts w:ascii="宋体" w:hAnsi="宋体" w:eastAsia="宋体" w:cs="Arial"/>
                <w:b/>
                <w:bCs/>
                <w:kern w:val="0"/>
                <w:sz w:val="28"/>
                <w:szCs w:val="28"/>
              </w:rPr>
            </w:pPr>
            <w:r>
              <w:rPr>
                <w:rFonts w:hint="eastAsia" w:ascii="宋体" w:hAnsi="宋体" w:eastAsia="宋体" w:cs="Arial"/>
                <w:b/>
                <w:bCs/>
                <w:kern w:val="0"/>
                <w:sz w:val="28"/>
                <w:szCs w:val="28"/>
              </w:rPr>
              <w:t>2016年部门预算项目支出及其他支出预算表</w:t>
            </w:r>
          </w:p>
        </w:tc>
      </w:tr>
      <w:tr>
        <w:tblPrEx>
          <w:tblLayout w:type="fixed"/>
          <w:tblCellMar>
            <w:top w:w="0" w:type="dxa"/>
            <w:left w:w="108" w:type="dxa"/>
            <w:bottom w:w="0" w:type="dxa"/>
            <w:right w:w="108" w:type="dxa"/>
          </w:tblCellMar>
        </w:tblPrEx>
        <w:trPr>
          <w:trHeight w:val="402" w:hRule="atLeast"/>
        </w:trPr>
        <w:tc>
          <w:tcPr>
            <w:tcW w:w="164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单位名称：</w:t>
            </w:r>
          </w:p>
        </w:tc>
        <w:tc>
          <w:tcPr>
            <w:tcW w:w="3000" w:type="dxa"/>
            <w:gridSpan w:val="3"/>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蕉岭县文物保护研究中心</w:t>
            </w: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7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16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支出项目类别（资金使用单位）</w:t>
            </w:r>
          </w:p>
        </w:tc>
        <w:tc>
          <w:tcPr>
            <w:tcW w:w="12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总计</w:t>
            </w:r>
          </w:p>
        </w:tc>
        <w:tc>
          <w:tcPr>
            <w:tcW w:w="352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财政拨款</w:t>
            </w:r>
          </w:p>
        </w:tc>
        <w:tc>
          <w:tcPr>
            <w:tcW w:w="7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财政专户拨款</w:t>
            </w:r>
          </w:p>
        </w:tc>
        <w:tc>
          <w:tcPr>
            <w:tcW w:w="88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其他资金</w:t>
            </w:r>
          </w:p>
        </w:tc>
        <w:tc>
          <w:tcPr>
            <w:tcW w:w="103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绩效目标</w:t>
            </w:r>
          </w:p>
        </w:tc>
      </w:tr>
      <w:tr>
        <w:tblPrEx>
          <w:tblLayout w:type="fixed"/>
          <w:tblCellMar>
            <w:top w:w="0" w:type="dxa"/>
            <w:left w:w="108" w:type="dxa"/>
            <w:bottom w:w="0" w:type="dxa"/>
            <w:right w:w="108" w:type="dxa"/>
          </w:tblCellMar>
        </w:tblPrEx>
        <w:trPr>
          <w:trHeight w:val="600" w:hRule="atLeast"/>
        </w:trPr>
        <w:tc>
          <w:tcPr>
            <w:tcW w:w="16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12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合计</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国有资本经营预算</w:t>
            </w:r>
          </w:p>
        </w:tc>
        <w:tc>
          <w:tcPr>
            <w:tcW w:w="7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8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1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2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3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4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5 </w:t>
            </w:r>
          </w:p>
        </w:tc>
        <w:tc>
          <w:tcPr>
            <w:tcW w:w="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6 </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7 </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8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无</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7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bl>
    <w:p/>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2016年本部门收入预算29.28元，比上年增加/减少0万元，增长/下降0%，主要原因是：与上年保持不变；支出预算29.28万元，比上年增加/减少0万元，增长/下降0%，主要原因是：与上年保持不变。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1.5万元，比上年增加/减少0万元，增长/下降0%，主要原因是：与上年保持不变。其中：因公出国（境）费0万元，比上年增加/减少0万元，增长/下降0%，主要原因是：与上年保持不变；公务用车购置及运行费1.5万元，比上年增加/减少0万元，增长/下降0%，主要原因是：与上年保持不变；公务接待费0万元，比上年增加/减少0万元，增长/下降0%，主要原因是：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29.28万元，比上年增加/减少0万元，增长/下降0%，主要原因是:持平;其中：办公费7.61万元，印刷费0，邮电费0，差旅费0，会议费0，福利费0，日常维修费0，专用材料及一般设备购置费0，办公用房水电费0，办公用房取暖费0，办公用房物业管理费0，公务用车运行维护费0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w:t>
      </w:r>
      <w:r>
        <w:rPr>
          <w:rFonts w:hint="eastAsia" w:ascii="仿宋" w:hAnsi="仿宋" w:eastAsia="仿宋" w:cs="仿宋"/>
          <w:sz w:val="32"/>
          <w:szCs w:val="32"/>
        </w:rPr>
        <w:t>公务车保有量</w:t>
      </w:r>
      <w:r>
        <w:rPr>
          <w:rFonts w:hint="eastAsia" w:ascii="仿宋" w:hAnsi="仿宋" w:eastAsia="仿宋" w:cs="仿宋"/>
          <w:bCs/>
          <w:sz w:val="32"/>
          <w:szCs w:val="32"/>
        </w:rPr>
        <w:t>1</w:t>
      </w:r>
      <w:r>
        <w:rPr>
          <w:rFonts w:hint="eastAsia" w:ascii="仿宋" w:hAnsi="仿宋" w:eastAsia="仿宋" w:cs="仿宋"/>
          <w:sz w:val="32"/>
          <w:szCs w:val="32"/>
        </w:rPr>
        <w:t>辆，全年运行维护费支出</w:t>
      </w:r>
      <w:r>
        <w:rPr>
          <w:rFonts w:hint="eastAsia" w:ascii="仿宋" w:hAnsi="仿宋" w:eastAsia="仿宋" w:cs="仿宋"/>
          <w:bCs/>
          <w:sz w:val="32"/>
          <w:szCs w:val="32"/>
        </w:rPr>
        <w:t>1.5</w:t>
      </w:r>
      <w:r>
        <w:rPr>
          <w:rFonts w:hint="eastAsia" w:ascii="仿宋" w:hAnsi="仿宋" w:eastAsia="仿宋" w:cs="仿宋"/>
          <w:b/>
          <w:sz w:val="32"/>
          <w:szCs w:val="32"/>
        </w:rPr>
        <w:t>万</w:t>
      </w:r>
      <w:r>
        <w:rPr>
          <w:rFonts w:hint="eastAsia" w:ascii="仿宋" w:hAnsi="仿宋" w:eastAsia="仿宋" w:cs="仿宋"/>
          <w:sz w:val="32"/>
          <w:szCs w:val="32"/>
        </w:rPr>
        <w:t>元，平均每辆1.5万元。</w:t>
      </w:r>
      <w:r>
        <w:rPr>
          <w:rFonts w:hint="eastAsia" w:ascii="仿宋_GB2312" w:hAnsi="仿宋_GB2312" w:eastAsia="仿宋_GB2312" w:cs="仿宋_GB2312"/>
          <w:sz w:val="32"/>
          <w:szCs w:val="32"/>
        </w:rPr>
        <w:t>分布构成情况为：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，主要实物资产数据情况为：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，资产变动情况为：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2016</w:t>
      </w:r>
      <w:r>
        <w:rPr>
          <w:rFonts w:hint="eastAsia" w:ascii="仿宋_GB2312" w:hAnsi="仿宋_GB2312" w:eastAsia="仿宋_GB2312" w:cs="仿宋_GB2312"/>
          <w:sz w:val="32"/>
          <w:szCs w:val="32"/>
        </w:rPr>
        <w:t>年，本部门</w:t>
      </w:r>
      <w:r>
        <w:rPr>
          <w:rFonts w:hint="eastAsia" w:ascii="仿宋_GB2312" w:hAnsi="仿宋_GB2312" w:eastAsia="仿宋_GB2312" w:cs="仿宋_GB2312"/>
          <w:sz w:val="32"/>
          <w:szCs w:val="32"/>
          <w:lang w:eastAsia="zh-CN"/>
        </w:rPr>
        <w:t>无此项目发展</w:t>
      </w:r>
      <w:r>
        <w:rPr>
          <w:rFonts w:hint="eastAsia" w:ascii="仿宋_GB2312" w:hAnsi="仿宋_GB2312" w:eastAsia="仿宋_GB2312" w:cs="仿宋_GB2312"/>
          <w:sz w:val="32"/>
          <w:szCs w:val="32"/>
        </w:rPr>
        <w:t>推进预算绩效信息公开的有关工作情况。</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707" w:firstLineChars="221"/>
        <w:rPr>
          <w:rFonts w:ascii="仿宋_GB2312" w:eastAsia="仿宋_GB2312"/>
          <w:sz w:val="32"/>
          <w:szCs w:val="32"/>
        </w:rPr>
      </w:pPr>
      <w:r>
        <w:rPr>
          <w:rFonts w:hint="eastAsia" w:ascii="仿宋_GB2312" w:eastAsia="仿宋_GB2312"/>
          <w:sz w:val="32"/>
          <w:szCs w:val="32"/>
        </w:rPr>
        <w:t xml:space="preserve">(一)财政拨款收入：指省财政当年拨付的资金。 </w:t>
      </w:r>
    </w:p>
    <w:p>
      <w:pPr>
        <w:ind w:firstLine="707" w:firstLineChars="221"/>
        <w:jc w:val="left"/>
        <w:rPr>
          <w:rFonts w:ascii="仿宋_GB2312" w:eastAsia="仿宋_GB2312"/>
          <w:sz w:val="32"/>
          <w:szCs w:val="32"/>
        </w:rPr>
      </w:pPr>
      <w:r>
        <w:rPr>
          <w:rFonts w:hint="eastAsia" w:ascii="仿宋_GB2312" w:eastAsia="仿宋_GB2312"/>
          <w:sz w:val="32"/>
          <w:szCs w:val="32"/>
        </w:rPr>
        <w:t>(二)事业收入：指事业单位开展专业业务活动及辅助活动所取得 的收入。</w:t>
      </w:r>
    </w:p>
    <w:p>
      <w:pPr>
        <w:ind w:firstLine="707" w:firstLineChars="221"/>
        <w:jc w:val="left"/>
        <w:rPr>
          <w:rFonts w:ascii="仿宋_GB2312" w:eastAsia="仿宋_GB2312"/>
          <w:sz w:val="32"/>
          <w:szCs w:val="32"/>
        </w:rPr>
      </w:pPr>
      <w:r>
        <w:rPr>
          <w:rFonts w:hint="eastAsia" w:ascii="仿宋_GB2312" w:eastAsia="仿宋_GB2312"/>
          <w:sz w:val="32"/>
          <w:szCs w:val="32"/>
        </w:rPr>
        <w:t>(三)其他收入：指除上述“财政拨款收入”、“事业收入”等以外 的收入。主要是银行存款利息收入等。</w:t>
      </w:r>
    </w:p>
    <w:p>
      <w:pPr>
        <w:ind w:firstLine="707" w:firstLineChars="221"/>
        <w:jc w:val="center"/>
        <w:rPr>
          <w:rFonts w:ascii="仿宋_GB2312" w:eastAsia="仿宋_GB2312"/>
          <w:sz w:val="32"/>
          <w:szCs w:val="32"/>
        </w:rPr>
      </w:pPr>
      <w:r>
        <w:rPr>
          <w:rFonts w:hint="eastAsia" w:ascii="仿宋_GB2312" w:eastAsia="仿宋_GB2312"/>
          <w:sz w:val="32"/>
          <w:szCs w:val="32"/>
        </w:rPr>
        <w:t>(四)用事业基金弥补收支差额：指事业单位在当年的“财政拨款 收入”、“事业收入”、“经营收入”、“其他收入”不足以安排当年 支出的情况下，使用以前年度积累的事业基金（事业单位当年收 支相抵后按国家规定提取、用于弥补以后年度收支差额的基金） 弥补本年度收支缺口的资金。</w:t>
      </w:r>
    </w:p>
    <w:p>
      <w:pPr>
        <w:ind w:firstLine="707" w:firstLineChars="221"/>
        <w:jc w:val="left"/>
        <w:rPr>
          <w:rFonts w:ascii="仿宋_GB2312" w:eastAsia="仿宋_GB2312"/>
          <w:sz w:val="32"/>
          <w:szCs w:val="32"/>
        </w:rPr>
      </w:pPr>
      <w:r>
        <w:rPr>
          <w:rFonts w:hint="eastAsia" w:ascii="仿宋_GB2312" w:eastAsia="仿宋_GB2312"/>
          <w:sz w:val="32"/>
          <w:szCs w:val="32"/>
        </w:rPr>
        <w:t>(五)年初结转和结余：指以前年度尚未完成、结转到本年按有关 规定继续使用的资金。</w:t>
      </w:r>
    </w:p>
    <w:p>
      <w:pPr>
        <w:ind w:firstLine="707" w:firstLineChars="221"/>
        <w:jc w:val="left"/>
        <w:rPr>
          <w:rFonts w:ascii="仿宋_GB2312" w:eastAsia="仿宋_GB2312"/>
          <w:sz w:val="32"/>
          <w:szCs w:val="32"/>
        </w:rPr>
      </w:pPr>
      <w:r>
        <w:rPr>
          <w:rFonts w:hint="eastAsia" w:ascii="仿宋_GB2312" w:eastAsia="仿宋_GB2312"/>
          <w:sz w:val="32"/>
          <w:szCs w:val="32"/>
        </w:rPr>
        <w:t xml:space="preserve"> (六)一般公共服务（类）财政事务（款）行政运行（项）：指财 政厅行政单位及参照公务员法管理的事业单位用于保障机构正常运行、开展日常工作的支出。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(七)一般公共服务（类）财政事务（款）一般行政管理事务（项）： 指财政厅行政单位及参照公务员法管理的事业单位开展财政立 法、决算编审、资产产权管理等未单独设置项级科目的专门性财政管理工作的项目支出。 </w:t>
      </w:r>
    </w:p>
    <w:p>
      <w:pPr>
        <w:ind w:firstLine="707" w:firstLineChars="221"/>
        <w:jc w:val="left"/>
        <w:rPr>
          <w:rFonts w:ascii="仿宋_GB2312" w:eastAsia="仿宋_GB2312"/>
          <w:sz w:val="32"/>
          <w:szCs w:val="32"/>
        </w:rPr>
      </w:pPr>
      <w:r>
        <w:rPr>
          <w:rFonts w:hint="eastAsia" w:ascii="仿宋_GB2312" w:eastAsia="仿宋_GB2312"/>
          <w:sz w:val="32"/>
          <w:szCs w:val="32"/>
        </w:rPr>
        <w:t>(八)一般公共服务（类）财政事务（款）信息化建设（项）：指用于“金财工程”等信息化建设方面的项目支出。</w:t>
      </w:r>
    </w:p>
    <w:p>
      <w:pPr>
        <w:ind w:firstLine="707" w:firstLineChars="221"/>
        <w:jc w:val="center"/>
        <w:rPr>
          <w:rFonts w:ascii="仿宋_GB2312" w:eastAsia="仿宋_GB2312"/>
          <w:sz w:val="32"/>
          <w:szCs w:val="32"/>
        </w:rPr>
      </w:pPr>
      <w:r>
        <w:rPr>
          <w:rFonts w:hint="eastAsia" w:ascii="仿宋_GB2312" w:eastAsia="仿宋_GB2312"/>
          <w:sz w:val="32"/>
          <w:szCs w:val="32"/>
        </w:rPr>
        <w:t xml:space="preserve"> (九)一般公共服务（类）财政事务（款）事业运行（项）：指用于保障机构正常运行、开展日 常工作的基本支出。</w:t>
      </w:r>
    </w:p>
    <w:p>
      <w:pPr>
        <w:ind w:firstLine="707" w:firstLineChars="221"/>
        <w:jc w:val="left"/>
        <w:rPr>
          <w:rFonts w:ascii="仿宋_GB2312" w:eastAsia="仿宋_GB2312"/>
          <w:sz w:val="32"/>
          <w:szCs w:val="32"/>
        </w:rPr>
      </w:pPr>
      <w:r>
        <w:rPr>
          <w:rFonts w:hint="eastAsia" w:ascii="仿宋_GB2312" w:eastAsia="仿宋_GB2312"/>
          <w:sz w:val="32"/>
          <w:szCs w:val="32"/>
        </w:rPr>
        <w:t xml:space="preserve"> (十)一般公共服务（类）财政事务（款）其他财政事务支出（项）： 指除上述项目外，开展其他财政事务方面专门性工作任务的项目支出。</w:t>
      </w:r>
    </w:p>
    <w:p>
      <w:pPr>
        <w:ind w:firstLine="707" w:firstLineChars="221"/>
        <w:jc w:val="center"/>
        <w:rPr>
          <w:rFonts w:ascii="仿宋_GB2312" w:eastAsia="仿宋_GB2312"/>
          <w:sz w:val="32"/>
          <w:szCs w:val="32"/>
        </w:rPr>
      </w:pPr>
      <w:r>
        <w:rPr>
          <w:rFonts w:hint="eastAsia" w:ascii="仿宋_GB2312" w:eastAsia="仿宋_GB2312"/>
          <w:sz w:val="32"/>
          <w:szCs w:val="32"/>
        </w:rPr>
        <w:t xml:space="preserve"> (十一)一般公共服务（类）组织事务（款）其他组织事务支出（项）： 指用于中国共产党组织部门的其他事务支出。 </w:t>
      </w:r>
    </w:p>
    <w:p>
      <w:pPr>
        <w:ind w:firstLine="707" w:firstLineChars="221"/>
        <w:jc w:val="left"/>
        <w:rPr>
          <w:rFonts w:ascii="仿宋_GB2312" w:eastAsia="仿宋_GB2312"/>
          <w:sz w:val="32"/>
          <w:szCs w:val="32"/>
        </w:rPr>
      </w:pPr>
      <w:r>
        <w:rPr>
          <w:rFonts w:hint="eastAsia" w:ascii="仿宋_GB2312" w:eastAsia="仿宋_GB2312"/>
          <w:sz w:val="32"/>
          <w:szCs w:val="32"/>
        </w:rPr>
        <w:t>(十二)教育（类）职业教育（款）中专教育（项）：指职业技术学校的教育支出。</w:t>
      </w:r>
    </w:p>
    <w:p>
      <w:pPr>
        <w:ind w:firstLine="707" w:firstLineChars="221"/>
        <w:jc w:val="left"/>
        <w:rPr>
          <w:rFonts w:ascii="仿宋_GB2312" w:eastAsia="仿宋_GB2312"/>
          <w:sz w:val="32"/>
          <w:szCs w:val="32"/>
        </w:rPr>
      </w:pPr>
      <w:r>
        <w:rPr>
          <w:rFonts w:hint="eastAsia" w:ascii="仿宋_GB2312" w:eastAsia="仿宋_GB2312"/>
          <w:sz w:val="32"/>
          <w:szCs w:val="32"/>
        </w:rPr>
        <w:t>(十三)教育（类）职业教育（款）其他职业教育支出（项）：指用于职业教育方面的其他支出。</w:t>
      </w:r>
    </w:p>
    <w:p>
      <w:pPr>
        <w:ind w:firstLine="707" w:firstLineChars="221"/>
        <w:jc w:val="left"/>
        <w:rPr>
          <w:rFonts w:ascii="仿宋_GB2312" w:eastAsia="仿宋_GB2312"/>
          <w:sz w:val="32"/>
          <w:szCs w:val="32"/>
        </w:rPr>
      </w:pPr>
      <w:r>
        <w:rPr>
          <w:rFonts w:hint="eastAsia" w:ascii="仿宋_GB2312" w:eastAsia="仿宋_GB2312"/>
          <w:sz w:val="32"/>
          <w:szCs w:val="32"/>
        </w:rPr>
        <w:t xml:space="preserve">(十四)社会保障和就业（类）行政事业单位离退休（款）归口管理的行政单位离退休（项）：指财政厅行政单位离退休人员的支出。 </w:t>
      </w:r>
    </w:p>
    <w:p>
      <w:pPr>
        <w:ind w:firstLine="707" w:firstLineChars="221"/>
        <w:jc w:val="left"/>
        <w:rPr>
          <w:rFonts w:ascii="仿宋_GB2312" w:eastAsia="仿宋_GB2312"/>
          <w:sz w:val="32"/>
          <w:szCs w:val="32"/>
        </w:rPr>
      </w:pPr>
      <w:r>
        <w:rPr>
          <w:rFonts w:hint="eastAsia" w:ascii="仿宋_GB2312" w:eastAsia="仿宋_GB2312"/>
          <w:sz w:val="32"/>
          <w:szCs w:val="32"/>
        </w:rPr>
        <w:t>(十五)社会保障和就业（类）行政事业单位离退休（款）事业单位离退休人员（项）：指事业单位离退休人员的支出。</w:t>
      </w:r>
    </w:p>
    <w:p>
      <w:pPr>
        <w:ind w:firstLine="707" w:firstLineChars="221"/>
        <w:jc w:val="left"/>
        <w:rPr>
          <w:rFonts w:ascii="仿宋_GB2312" w:eastAsia="仿宋_GB2312"/>
          <w:sz w:val="32"/>
          <w:szCs w:val="32"/>
        </w:rPr>
      </w:pPr>
      <w:r>
        <w:rPr>
          <w:rFonts w:hint="eastAsia" w:ascii="仿宋_GB2312" w:eastAsia="仿宋_GB2312"/>
          <w:sz w:val="32"/>
          <w:szCs w:val="32"/>
        </w:rPr>
        <w:t xml:space="preserve">(十六)社会保障和就业（类）行政事业单位离退休（款）其他行政事业单位离退休支出（项）：指行政事业单位离退休人员的其他支出。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(十七)结余分配：指事业单位按规定提取的职工福利基金、事业基 金和缴纳的所得税，以及建设单位按规定应交回的基本建设竣工项目结余资金。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(十八)年末结转和结余：指本年度或以前年度预算安排、因客观条件发生变化无法按原计划实施，需要延迟到以后年度按有关规定继续使用的资金。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(十九)基本支出：指为保障机构正常运转、完成日常工作任务而发生的人员支出和公用支出。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(二十)项目支出：指在基本支出之外为完成特定行政任务和事业发展目标所发生的支出。 </w:t>
      </w:r>
    </w:p>
    <w:p>
      <w:pPr>
        <w:ind w:firstLine="707" w:firstLineChars="221"/>
        <w:jc w:val="left"/>
        <w:rPr>
          <w:rFonts w:ascii="仿宋_GB2312" w:eastAsia="仿宋_GB2312"/>
          <w:sz w:val="32"/>
          <w:szCs w:val="32"/>
        </w:rPr>
      </w:pPr>
      <w:r>
        <w:rPr>
          <w:rFonts w:hint="eastAsia" w:ascii="仿宋_GB2312" w:eastAsia="仿宋_GB2312"/>
          <w:sz w:val="32"/>
          <w:szCs w:val="32"/>
        </w:rPr>
        <w:t xml:space="preserve">(二十)“三公”经费：纳入财政预决算管理的“三公”经费，是指财政部门用财政拨款安排的因公出国（境）费、公务用车购置 及运行费和公务接待费。其中，因公出国（境）费反映单位公务 出国（境）的国际旅费、国外城市间交通费、住宿费、伙食费、 培训费、公杂费等支出；公务用车购置及运行费反映单位公务用 车车辆购置支出（含车辆购置税）及租用费、燃料费、维修费、 过路过桥费、保险费等支出；公务接待费反映单位按规定开支的各类公务接待（含外宾接待）支出。 </w:t>
      </w:r>
    </w:p>
    <w:p>
      <w:pPr>
        <w:ind w:firstLine="707" w:firstLineChars="221"/>
        <w:jc w:val="left"/>
        <w:rPr>
          <w:rFonts w:ascii="仿宋_GB2312" w:eastAsia="仿宋_GB2312"/>
          <w:sz w:val="32"/>
          <w:szCs w:val="32"/>
        </w:rPr>
      </w:pPr>
      <w:bookmarkStart w:id="0" w:name="_GoBack"/>
      <w:bookmarkEnd w:id="0"/>
      <w:r>
        <w:rPr>
          <w:rFonts w:hint="eastAsia" w:ascii="仿宋_GB2312" w:eastAsia="仿宋_GB2312"/>
          <w:sz w:val="32"/>
          <w:szCs w:val="32"/>
        </w:rPr>
        <w:t>(二十二)机关运行经费：为保障行政单位（含参照公务员法管理的事 业单位）运行用于购买货物和服务的各项资金，包括办公及印刷 费、邮电费、差旅费、会议费、福利费、日常维修费、专用材料 及一般设备购置费、办公用房水电费、办公用房物业管理费、公务用车运行维护费以及其他费用。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10CD4"/>
    <w:rsid w:val="00260FAA"/>
    <w:rsid w:val="002C7B81"/>
    <w:rsid w:val="005173D9"/>
    <w:rsid w:val="00522D92"/>
    <w:rsid w:val="0077188F"/>
    <w:rsid w:val="00857E3A"/>
    <w:rsid w:val="00B155AC"/>
    <w:rsid w:val="00B30D95"/>
    <w:rsid w:val="00B70A9B"/>
    <w:rsid w:val="00CA0090"/>
    <w:rsid w:val="00D9536C"/>
    <w:rsid w:val="00E84316"/>
    <w:rsid w:val="00F136DD"/>
    <w:rsid w:val="00FC436C"/>
    <w:rsid w:val="081D07C1"/>
    <w:rsid w:val="288027DB"/>
    <w:rsid w:val="2F300128"/>
    <w:rsid w:val="658E0CA7"/>
    <w:rsid w:val="6D535020"/>
    <w:rsid w:val="71F452C7"/>
    <w:rsid w:val="76943C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21</Pages>
  <Words>6135</Words>
  <Characters>3151</Characters>
  <Lines>26</Lines>
  <Paragraphs>18</Paragraphs>
  <TotalTime>0</TotalTime>
  <ScaleCrop>false</ScaleCrop>
  <LinksUpToDate>false</LinksUpToDate>
  <CharactersWithSpaces>9268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2018-05-23T10:48:04Z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