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tabs>
          <w:tab w:val="center" w:pos="4153"/>
          <w:tab w:val="left" w:pos="5880"/>
        </w:tabs>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2016年</w:t>
      </w: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蕉岭县实验学校部门预算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黑体"/>
          <w:sz w:val="44"/>
          <w:szCs w:val="44"/>
        </w:rPr>
      </w:pPr>
      <w:r>
        <w:rPr>
          <w:rFonts w:hint="eastAsia" w:ascii="方正小标宋简体" w:hAnsi="方正小标宋简体" w:eastAsia="方正小标宋简体" w:cs="方正小标宋简体"/>
          <w:sz w:val="84"/>
          <w:szCs w:val="84"/>
        </w:rPr>
        <w:br w:type="page"/>
      </w:r>
    </w:p>
    <w:p>
      <w:pPr>
        <w:jc w:val="center"/>
        <w:rPr>
          <w:rFonts w:ascii="仿宋" w:hAnsi="仿宋" w:eastAsia="仿宋" w:cs="方正小标宋简体"/>
          <w:b/>
          <w:sz w:val="32"/>
          <w:szCs w:val="32"/>
        </w:rPr>
      </w:pPr>
      <w:r>
        <w:rPr>
          <w:rFonts w:hint="eastAsia" w:ascii="仿宋" w:hAnsi="仿宋" w:eastAsia="仿宋" w:cs="方正小标宋简体"/>
          <w:b/>
          <w:sz w:val="32"/>
          <w:szCs w:val="32"/>
        </w:rPr>
        <w:t>目 录</w:t>
      </w:r>
    </w:p>
    <w:p>
      <w:pPr>
        <w:jc w:val="center"/>
        <w:rPr>
          <w:rFonts w:ascii="仿宋" w:hAnsi="仿宋" w:eastAsia="仿宋" w:cs="黑体"/>
          <w:b/>
          <w:sz w:val="32"/>
          <w:szCs w:val="32"/>
        </w:rPr>
      </w:pPr>
    </w:p>
    <w:p>
      <w:pPr>
        <w:ind w:firstLine="643" w:firstLineChars="200"/>
        <w:rPr>
          <w:rFonts w:ascii="仿宋" w:hAnsi="仿宋" w:eastAsia="仿宋" w:cs="黑体"/>
          <w:b/>
          <w:sz w:val="32"/>
          <w:szCs w:val="32"/>
        </w:rPr>
      </w:pPr>
      <w:r>
        <w:rPr>
          <w:rFonts w:hint="eastAsia" w:ascii="仿宋" w:hAnsi="仿宋" w:eastAsia="仿宋" w:cs="黑体"/>
          <w:b/>
          <w:sz w:val="32"/>
          <w:szCs w:val="32"/>
        </w:rPr>
        <w:t>第一部分 蕉岭县实验学校概况</w:t>
      </w:r>
    </w:p>
    <w:p>
      <w:pPr>
        <w:numPr>
          <w:ilvl w:val="0"/>
          <w:numId w:val="1"/>
        </w:numPr>
        <w:ind w:firstLine="640" w:firstLineChars="200"/>
        <w:rPr>
          <w:rFonts w:ascii="仿宋" w:hAnsi="仿宋" w:eastAsia="仿宋" w:cs="仿宋_GB2312"/>
          <w:b w:val="0"/>
          <w:bCs/>
          <w:sz w:val="32"/>
          <w:szCs w:val="32"/>
        </w:rPr>
      </w:pPr>
      <w:r>
        <w:rPr>
          <w:rFonts w:hint="eastAsia" w:ascii="仿宋" w:hAnsi="仿宋" w:eastAsia="仿宋" w:cs="仿宋_GB2312"/>
          <w:b w:val="0"/>
          <w:bCs/>
          <w:sz w:val="32"/>
          <w:szCs w:val="32"/>
        </w:rPr>
        <w:t>主要职责</w:t>
      </w:r>
    </w:p>
    <w:p>
      <w:pPr>
        <w:numPr>
          <w:ilvl w:val="0"/>
          <w:numId w:val="1"/>
        </w:numPr>
        <w:ind w:firstLine="640" w:firstLineChars="200"/>
        <w:rPr>
          <w:rFonts w:ascii="仿宋" w:hAnsi="仿宋" w:eastAsia="仿宋" w:cs="仿宋_GB2312"/>
          <w:b w:val="0"/>
          <w:bCs/>
          <w:sz w:val="32"/>
          <w:szCs w:val="32"/>
        </w:rPr>
      </w:pPr>
      <w:r>
        <w:rPr>
          <w:rFonts w:hint="eastAsia" w:ascii="仿宋" w:hAnsi="仿宋" w:eastAsia="仿宋" w:cs="仿宋_GB2312"/>
          <w:b w:val="0"/>
          <w:bCs/>
          <w:sz w:val="32"/>
          <w:szCs w:val="32"/>
        </w:rPr>
        <w:t>机构设置</w:t>
      </w:r>
    </w:p>
    <w:p>
      <w:pPr>
        <w:ind w:firstLine="643" w:firstLineChars="200"/>
        <w:rPr>
          <w:rFonts w:ascii="仿宋" w:hAnsi="仿宋" w:eastAsia="仿宋" w:cs="黑体"/>
          <w:b/>
          <w:sz w:val="32"/>
          <w:szCs w:val="32"/>
        </w:rPr>
      </w:pPr>
      <w:r>
        <w:rPr>
          <w:rFonts w:hint="eastAsia" w:ascii="仿宋" w:hAnsi="仿宋" w:eastAsia="仿宋" w:cs="黑体"/>
          <w:b/>
          <w:sz w:val="32"/>
          <w:szCs w:val="32"/>
        </w:rPr>
        <w:t>第二部分  2016年部门预算表</w:t>
      </w:r>
    </w:p>
    <w:p>
      <w:pPr>
        <w:numPr>
          <w:ilvl w:val="0"/>
          <w:numId w:val="2"/>
        </w:numPr>
        <w:ind w:firstLine="640"/>
        <w:rPr>
          <w:rFonts w:ascii="仿宋" w:hAnsi="仿宋" w:eastAsia="仿宋" w:cs="仿宋_GB2312"/>
          <w:b w:val="0"/>
          <w:bCs/>
          <w:sz w:val="32"/>
          <w:szCs w:val="32"/>
        </w:rPr>
      </w:pPr>
      <w:r>
        <w:rPr>
          <w:rFonts w:hint="eastAsia" w:ascii="仿宋" w:hAnsi="仿宋" w:eastAsia="仿宋" w:cs="仿宋_GB2312"/>
          <w:b w:val="0"/>
          <w:bCs/>
          <w:sz w:val="32"/>
          <w:szCs w:val="32"/>
        </w:rPr>
        <w:t>收支总体情况表</w:t>
      </w:r>
    </w:p>
    <w:p>
      <w:pPr>
        <w:numPr>
          <w:ilvl w:val="0"/>
          <w:numId w:val="2"/>
        </w:numPr>
        <w:ind w:firstLine="640"/>
        <w:rPr>
          <w:rFonts w:ascii="仿宋" w:hAnsi="仿宋" w:eastAsia="仿宋" w:cs="仿宋_GB2312"/>
          <w:b w:val="0"/>
          <w:bCs/>
          <w:sz w:val="32"/>
          <w:szCs w:val="32"/>
        </w:rPr>
      </w:pPr>
      <w:r>
        <w:rPr>
          <w:rFonts w:hint="eastAsia" w:ascii="仿宋" w:hAnsi="仿宋" w:eastAsia="仿宋" w:cs="仿宋_GB2312"/>
          <w:b w:val="0"/>
          <w:bCs/>
          <w:sz w:val="32"/>
          <w:szCs w:val="32"/>
        </w:rPr>
        <w:t>收入总体情况表</w:t>
      </w:r>
    </w:p>
    <w:p>
      <w:pPr>
        <w:numPr>
          <w:ilvl w:val="0"/>
          <w:numId w:val="2"/>
        </w:numPr>
        <w:ind w:firstLine="640"/>
        <w:rPr>
          <w:rFonts w:ascii="仿宋" w:hAnsi="仿宋" w:eastAsia="仿宋" w:cs="仿宋_GB2312"/>
          <w:b w:val="0"/>
          <w:bCs/>
          <w:sz w:val="32"/>
          <w:szCs w:val="32"/>
        </w:rPr>
      </w:pPr>
      <w:r>
        <w:rPr>
          <w:rFonts w:hint="eastAsia" w:ascii="仿宋" w:hAnsi="仿宋" w:eastAsia="仿宋" w:cs="仿宋_GB2312"/>
          <w:b w:val="0"/>
          <w:bCs/>
          <w:sz w:val="32"/>
          <w:szCs w:val="32"/>
        </w:rPr>
        <w:t>支出总体情况表</w:t>
      </w:r>
    </w:p>
    <w:p>
      <w:pPr>
        <w:numPr>
          <w:ilvl w:val="0"/>
          <w:numId w:val="2"/>
        </w:numPr>
        <w:ind w:firstLine="640"/>
        <w:rPr>
          <w:rFonts w:ascii="仿宋" w:hAnsi="仿宋" w:eastAsia="仿宋" w:cs="仿宋_GB2312"/>
          <w:b w:val="0"/>
          <w:bCs/>
          <w:sz w:val="32"/>
          <w:szCs w:val="32"/>
        </w:rPr>
      </w:pPr>
      <w:r>
        <w:rPr>
          <w:rFonts w:hint="eastAsia" w:ascii="仿宋" w:hAnsi="仿宋" w:eastAsia="仿宋" w:cs="仿宋_GB2312"/>
          <w:b w:val="0"/>
          <w:bCs/>
          <w:sz w:val="32"/>
          <w:szCs w:val="32"/>
        </w:rPr>
        <w:t>财政拨款收支总体情况表</w:t>
      </w:r>
    </w:p>
    <w:p>
      <w:pPr>
        <w:numPr>
          <w:ilvl w:val="0"/>
          <w:numId w:val="2"/>
        </w:numPr>
        <w:ind w:firstLine="640"/>
        <w:rPr>
          <w:rFonts w:ascii="仿宋" w:hAnsi="仿宋" w:eastAsia="仿宋" w:cs="仿宋_GB2312"/>
          <w:b w:val="0"/>
          <w:bCs/>
          <w:sz w:val="32"/>
          <w:szCs w:val="32"/>
        </w:rPr>
      </w:pPr>
      <w:r>
        <w:rPr>
          <w:rFonts w:hint="eastAsia" w:ascii="仿宋" w:hAnsi="仿宋" w:eastAsia="仿宋" w:cs="仿宋_GB2312"/>
          <w:b w:val="0"/>
          <w:bCs/>
          <w:sz w:val="32"/>
          <w:szCs w:val="32"/>
        </w:rPr>
        <w:t>一般公共预算支出情况表（按功能分类科目）</w:t>
      </w:r>
    </w:p>
    <w:p>
      <w:pPr>
        <w:numPr>
          <w:ilvl w:val="0"/>
          <w:numId w:val="2"/>
        </w:numPr>
        <w:ind w:firstLine="640"/>
        <w:rPr>
          <w:rFonts w:ascii="仿宋" w:hAnsi="仿宋" w:eastAsia="仿宋" w:cs="仿宋_GB2312"/>
          <w:b w:val="0"/>
          <w:bCs/>
          <w:sz w:val="32"/>
          <w:szCs w:val="32"/>
        </w:rPr>
      </w:pPr>
      <w:r>
        <w:rPr>
          <w:rFonts w:hint="eastAsia" w:ascii="仿宋" w:hAnsi="仿宋" w:eastAsia="仿宋" w:cs="仿宋_GB2312"/>
          <w:b w:val="0"/>
          <w:bCs/>
          <w:sz w:val="32"/>
          <w:szCs w:val="32"/>
        </w:rPr>
        <w:t>一般公共预算基本支出情况表（按支出经济分类科目）</w:t>
      </w:r>
    </w:p>
    <w:p>
      <w:pPr>
        <w:numPr>
          <w:ilvl w:val="0"/>
          <w:numId w:val="2"/>
        </w:numPr>
        <w:ind w:firstLine="640"/>
        <w:rPr>
          <w:rFonts w:ascii="仿宋" w:hAnsi="仿宋" w:eastAsia="仿宋" w:cs="仿宋_GB2312"/>
          <w:b w:val="0"/>
          <w:bCs/>
          <w:sz w:val="32"/>
          <w:szCs w:val="32"/>
        </w:rPr>
      </w:pPr>
      <w:r>
        <w:rPr>
          <w:rFonts w:hint="eastAsia" w:ascii="仿宋" w:hAnsi="仿宋" w:eastAsia="仿宋" w:cs="仿宋_GB2312"/>
          <w:b w:val="0"/>
          <w:bCs/>
          <w:sz w:val="32"/>
          <w:szCs w:val="32"/>
        </w:rPr>
        <w:t>一般公共预算项目支出情况表（按支出经济分类科目）</w:t>
      </w:r>
    </w:p>
    <w:p>
      <w:pPr>
        <w:numPr>
          <w:ilvl w:val="0"/>
          <w:numId w:val="2"/>
        </w:numPr>
        <w:ind w:firstLine="640"/>
        <w:rPr>
          <w:rFonts w:ascii="仿宋" w:hAnsi="仿宋" w:eastAsia="仿宋" w:cs="仿宋_GB2312"/>
          <w:b w:val="0"/>
          <w:bCs/>
          <w:sz w:val="32"/>
          <w:szCs w:val="32"/>
        </w:rPr>
      </w:pPr>
      <w:r>
        <w:rPr>
          <w:rFonts w:hint="eastAsia" w:ascii="仿宋" w:hAnsi="仿宋" w:eastAsia="仿宋" w:cs="仿宋_GB2312"/>
          <w:b w:val="0"/>
          <w:bCs/>
          <w:sz w:val="32"/>
          <w:szCs w:val="32"/>
        </w:rPr>
        <w:t>一般公共预算安排的行政经费及“三公”经费预算表</w:t>
      </w:r>
    </w:p>
    <w:p>
      <w:pPr>
        <w:numPr>
          <w:ilvl w:val="0"/>
          <w:numId w:val="2"/>
        </w:numPr>
        <w:ind w:firstLine="640"/>
        <w:rPr>
          <w:rFonts w:ascii="仿宋" w:hAnsi="仿宋" w:eastAsia="仿宋" w:cs="仿宋_GB2312"/>
          <w:b w:val="0"/>
          <w:bCs/>
          <w:sz w:val="32"/>
          <w:szCs w:val="32"/>
        </w:rPr>
      </w:pPr>
      <w:r>
        <w:rPr>
          <w:rFonts w:hint="eastAsia" w:ascii="仿宋" w:hAnsi="仿宋" w:eastAsia="仿宋" w:cs="仿宋_GB2312"/>
          <w:b w:val="0"/>
          <w:bCs/>
          <w:sz w:val="32"/>
          <w:szCs w:val="32"/>
        </w:rPr>
        <w:t>政府性基金预算支出情况表</w:t>
      </w:r>
    </w:p>
    <w:p>
      <w:pPr>
        <w:numPr>
          <w:ilvl w:val="0"/>
          <w:numId w:val="2"/>
        </w:numPr>
        <w:ind w:firstLine="640"/>
        <w:rPr>
          <w:rFonts w:ascii="仿宋" w:hAnsi="仿宋" w:eastAsia="仿宋" w:cs="仿宋_GB2312"/>
          <w:b w:val="0"/>
          <w:bCs/>
          <w:sz w:val="32"/>
          <w:szCs w:val="32"/>
        </w:rPr>
      </w:pPr>
      <w:r>
        <w:rPr>
          <w:rFonts w:hint="eastAsia" w:ascii="仿宋" w:hAnsi="仿宋" w:eastAsia="仿宋" w:cs="仿宋_GB2312"/>
          <w:b w:val="0"/>
          <w:bCs/>
          <w:sz w:val="32"/>
          <w:szCs w:val="32"/>
        </w:rPr>
        <w:t>部门预算基本支出预算表</w:t>
      </w:r>
    </w:p>
    <w:p>
      <w:pPr>
        <w:numPr>
          <w:ilvl w:val="0"/>
          <w:numId w:val="2"/>
        </w:numPr>
        <w:ind w:firstLine="640"/>
        <w:rPr>
          <w:rFonts w:ascii="仿宋" w:hAnsi="仿宋" w:eastAsia="仿宋" w:cs="仿宋_GB2312"/>
          <w:b w:val="0"/>
          <w:bCs/>
          <w:sz w:val="32"/>
          <w:szCs w:val="32"/>
        </w:rPr>
      </w:pPr>
      <w:r>
        <w:rPr>
          <w:rFonts w:hint="eastAsia" w:ascii="仿宋" w:hAnsi="仿宋" w:eastAsia="仿宋" w:cs="仿宋_GB2312"/>
          <w:b w:val="0"/>
          <w:bCs/>
          <w:sz w:val="32"/>
          <w:szCs w:val="32"/>
        </w:rPr>
        <w:t>部门预算项目支出及其他支出预算表</w:t>
      </w:r>
    </w:p>
    <w:p>
      <w:pPr>
        <w:ind w:firstLine="643" w:firstLineChars="200"/>
        <w:rPr>
          <w:rFonts w:ascii="仿宋" w:hAnsi="仿宋" w:eastAsia="仿宋" w:cs="黑体"/>
          <w:b/>
          <w:sz w:val="32"/>
          <w:szCs w:val="32"/>
        </w:rPr>
      </w:pPr>
      <w:r>
        <w:rPr>
          <w:rFonts w:hint="eastAsia" w:ascii="仿宋" w:hAnsi="仿宋" w:eastAsia="仿宋" w:cs="黑体"/>
          <w:b/>
          <w:sz w:val="32"/>
          <w:szCs w:val="32"/>
        </w:rPr>
        <w:t>第三部分  2016年部门预算情况说明</w:t>
      </w:r>
    </w:p>
    <w:p>
      <w:pPr>
        <w:ind w:firstLine="643" w:firstLineChars="200"/>
        <w:rPr>
          <w:rFonts w:ascii="仿宋" w:hAnsi="仿宋" w:eastAsia="仿宋" w:cs="黑体"/>
          <w:b/>
          <w:sz w:val="32"/>
          <w:szCs w:val="32"/>
        </w:rPr>
      </w:pPr>
      <w:r>
        <w:rPr>
          <w:rFonts w:hint="eastAsia" w:ascii="仿宋" w:hAnsi="仿宋" w:eastAsia="仿宋" w:cs="黑体"/>
          <w:b/>
          <w:sz w:val="32"/>
          <w:szCs w:val="32"/>
        </w:rPr>
        <w:t>第四部分  名词解释</w:t>
      </w:r>
    </w:p>
    <w:p>
      <w:pPr>
        <w:ind w:firstLine="643" w:firstLineChars="200"/>
        <w:rPr>
          <w:rFonts w:ascii="仿宋" w:hAnsi="仿宋" w:eastAsia="仿宋" w:cs="黑体"/>
          <w:b/>
          <w:sz w:val="32"/>
          <w:szCs w:val="32"/>
        </w:rPr>
      </w:pPr>
    </w:p>
    <w:p>
      <w:pPr>
        <w:ind w:firstLine="640" w:firstLineChars="200"/>
        <w:rPr>
          <w:rFonts w:ascii="仿宋" w:hAnsi="仿宋" w:eastAsia="仿宋" w:cs="黑体"/>
          <w:sz w:val="32"/>
          <w:szCs w:val="32"/>
        </w:rPr>
      </w:pPr>
    </w:p>
    <w:p>
      <w:pPr>
        <w:ind w:firstLine="640" w:firstLineChars="200"/>
        <w:rPr>
          <w:rFonts w:ascii="仿宋" w:hAnsi="仿宋" w:eastAsia="仿宋" w:cs="黑体"/>
          <w:sz w:val="32"/>
          <w:szCs w:val="32"/>
        </w:rPr>
      </w:pPr>
    </w:p>
    <w:p>
      <w:pPr>
        <w:ind w:firstLine="640" w:firstLineChars="200"/>
        <w:rPr>
          <w:rFonts w:ascii="仿宋" w:hAnsi="仿宋" w:eastAsia="仿宋" w:cs="黑体"/>
          <w:sz w:val="32"/>
          <w:szCs w:val="32"/>
        </w:rPr>
      </w:pPr>
    </w:p>
    <w:p>
      <w:pPr>
        <w:spacing w:line="460" w:lineRule="exact"/>
        <w:jc w:val="center"/>
        <w:rPr>
          <w:rFonts w:ascii="仿宋" w:hAnsi="仿宋" w:eastAsia="仿宋" w:cs="方正小标宋简体"/>
          <w:b/>
          <w:sz w:val="44"/>
          <w:szCs w:val="44"/>
        </w:rPr>
      </w:pPr>
      <w:r>
        <w:rPr>
          <w:rFonts w:hint="eastAsia" w:ascii="仿宋" w:hAnsi="仿宋" w:eastAsia="仿宋" w:cs="方正小标宋简体"/>
          <w:b/>
          <w:sz w:val="44"/>
          <w:szCs w:val="44"/>
        </w:rPr>
        <w:t>第一部分  蕉岭县实验学校概况</w:t>
      </w:r>
    </w:p>
    <w:p>
      <w:pPr>
        <w:spacing w:line="460" w:lineRule="exact"/>
        <w:rPr>
          <w:rFonts w:ascii="仿宋" w:hAnsi="仿宋" w:eastAsia="仿宋" w:cs="黑体"/>
          <w:sz w:val="44"/>
          <w:szCs w:val="44"/>
        </w:rPr>
      </w:pPr>
    </w:p>
    <w:p>
      <w:pPr>
        <w:numPr>
          <w:ilvl w:val="0"/>
          <w:numId w:val="3"/>
        </w:numPr>
        <w:spacing w:line="460" w:lineRule="exact"/>
        <w:ind w:firstLine="640"/>
        <w:rPr>
          <w:rFonts w:ascii="仿宋" w:hAnsi="仿宋" w:eastAsia="仿宋" w:cs="黑体"/>
          <w:b/>
          <w:sz w:val="32"/>
          <w:szCs w:val="32"/>
        </w:rPr>
      </w:pPr>
      <w:r>
        <w:rPr>
          <w:rFonts w:hint="eastAsia" w:ascii="仿宋" w:hAnsi="仿宋" w:eastAsia="仿宋" w:cs="黑体"/>
          <w:b/>
          <w:sz w:val="32"/>
          <w:szCs w:val="32"/>
        </w:rPr>
        <w:t>主要职责</w:t>
      </w:r>
    </w:p>
    <w:p>
      <w:pPr>
        <w:spacing w:line="460" w:lineRule="exact"/>
        <w:ind w:firstLine="640" w:firstLineChars="200"/>
        <w:rPr>
          <w:rFonts w:ascii="仿宋" w:hAnsi="仿宋" w:eastAsia="仿宋" w:cs="黑体"/>
          <w:sz w:val="32"/>
          <w:szCs w:val="32"/>
        </w:rPr>
      </w:pPr>
      <w:r>
        <w:rPr>
          <w:rFonts w:hint="eastAsia" w:ascii="仿宋" w:hAnsi="仿宋" w:eastAsia="仿宋" w:cs="Times New Roman"/>
          <w:sz w:val="32"/>
          <w:szCs w:val="32"/>
        </w:rPr>
        <w:t>蕉岭县实验学校是隶属蕉岭县教育局管理的正科级事业单位，负责日常教育教学业务，承担初中教育，保证义务教育阶段顺利实施。</w:t>
      </w:r>
    </w:p>
    <w:p>
      <w:pPr>
        <w:spacing w:line="460" w:lineRule="exact"/>
        <w:rPr>
          <w:rFonts w:ascii="仿宋" w:hAnsi="仿宋" w:eastAsia="仿宋" w:cs="黑体"/>
          <w:b/>
          <w:sz w:val="32"/>
          <w:szCs w:val="32"/>
        </w:rPr>
      </w:pPr>
      <w:r>
        <w:rPr>
          <w:rFonts w:hint="eastAsia" w:ascii="仿宋" w:hAnsi="仿宋" w:eastAsia="仿宋" w:cs="黑体"/>
          <w:sz w:val="32"/>
          <w:szCs w:val="32"/>
        </w:rPr>
        <w:t xml:space="preserve">   </w:t>
      </w:r>
      <w:r>
        <w:rPr>
          <w:rFonts w:hint="eastAsia" w:ascii="仿宋" w:hAnsi="仿宋" w:eastAsia="仿宋" w:cs="黑体"/>
          <w:b/>
          <w:sz w:val="32"/>
          <w:szCs w:val="32"/>
        </w:rPr>
        <w:t xml:space="preserve"> 二、机构设置</w:t>
      </w:r>
    </w:p>
    <w:p>
      <w:pPr>
        <w:spacing w:line="460" w:lineRule="exact"/>
        <w:ind w:firstLine="640" w:firstLineChars="200"/>
        <w:rPr>
          <w:rFonts w:ascii="仿宋" w:hAnsi="仿宋" w:eastAsia="仿宋" w:cs="仿宋_GB2312"/>
          <w:sz w:val="32"/>
          <w:szCs w:val="32"/>
        </w:rPr>
      </w:pPr>
      <w:r>
        <w:rPr>
          <w:rFonts w:hint="eastAsia" w:ascii="仿宋" w:hAnsi="仿宋" w:eastAsia="仿宋" w:cs="仿宋_GB2312"/>
          <w:sz w:val="32"/>
          <w:szCs w:val="32"/>
          <w:lang w:eastAsia="zh-CN"/>
        </w:rPr>
        <w:t>本部门无下属单位，部门预算为本级预算</w:t>
      </w:r>
      <w:bookmarkStart w:id="0" w:name="_GoBack"/>
      <w:bookmarkEnd w:id="0"/>
      <w:r>
        <w:rPr>
          <w:rFonts w:hint="eastAsia" w:ascii="仿宋" w:hAnsi="仿宋" w:eastAsia="仿宋" w:cs="仿宋_GB2312"/>
          <w:sz w:val="32"/>
          <w:szCs w:val="32"/>
          <w:lang w:eastAsia="zh-CN"/>
        </w:rPr>
        <w:t>。</w:t>
      </w:r>
      <w:r>
        <w:rPr>
          <w:rFonts w:hint="eastAsia" w:ascii="仿宋" w:hAnsi="仿宋" w:eastAsia="仿宋" w:cs="仿宋_GB2312"/>
          <w:sz w:val="32"/>
          <w:szCs w:val="32"/>
        </w:rPr>
        <w:t>蕉岭县实验学校核定编制为175人，实有教职工174，退休人员15人。内设教务处、政教处、办公室、总务处及团委等五个处室，各部门互相协调，为教育教学服务。</w:t>
      </w:r>
    </w:p>
    <w:p>
      <w:pPr>
        <w:spacing w:line="460" w:lineRule="exact"/>
        <w:ind w:firstLine="640" w:firstLineChars="200"/>
        <w:rPr>
          <w:rFonts w:ascii="仿宋" w:hAnsi="仿宋" w:eastAsia="仿宋" w:cs="仿宋_GB2312"/>
          <w:sz w:val="32"/>
          <w:szCs w:val="32"/>
        </w:rPr>
      </w:pPr>
    </w:p>
    <w:p>
      <w:pPr>
        <w:spacing w:line="460" w:lineRule="exact"/>
        <w:ind w:firstLine="883" w:firstLineChars="200"/>
        <w:jc w:val="center"/>
        <w:rPr>
          <w:rFonts w:hint="eastAsia" w:ascii="仿宋" w:hAnsi="仿宋" w:eastAsia="仿宋" w:cs="方正小标宋简体"/>
          <w:b/>
          <w:sz w:val="44"/>
          <w:szCs w:val="44"/>
        </w:rPr>
      </w:pPr>
      <w:r>
        <w:rPr>
          <w:rFonts w:hint="eastAsia" w:ascii="仿宋" w:hAnsi="仿宋" w:eastAsia="仿宋" w:cs="方正小标宋简体"/>
          <w:b/>
          <w:sz w:val="44"/>
          <w:szCs w:val="44"/>
        </w:rPr>
        <w:br w:type="page"/>
      </w:r>
    </w:p>
    <w:p>
      <w:pPr>
        <w:spacing w:line="460" w:lineRule="exact"/>
        <w:jc w:val="center"/>
        <w:rPr>
          <w:rFonts w:ascii="仿宋" w:hAnsi="仿宋" w:eastAsia="仿宋" w:cs="方正小标宋简体"/>
          <w:b/>
          <w:sz w:val="44"/>
          <w:szCs w:val="44"/>
        </w:rPr>
      </w:pPr>
      <w:r>
        <w:rPr>
          <w:rFonts w:hint="eastAsia" w:ascii="仿宋" w:hAnsi="仿宋" w:eastAsia="仿宋" w:cs="方正小标宋简体"/>
          <w:b/>
          <w:sz w:val="44"/>
          <w:szCs w:val="44"/>
        </w:rPr>
        <w:t>第二部分  2016年部门预算表</w:t>
      </w:r>
    </w:p>
    <w:p>
      <w:pPr>
        <w:spacing w:line="460" w:lineRule="exact"/>
        <w:ind w:firstLine="640" w:firstLineChars="200"/>
        <w:jc w:val="center"/>
        <w:rPr>
          <w:rFonts w:hint="eastAsia" w:ascii="仿宋" w:hAnsi="仿宋" w:eastAsia="仿宋" w:cs="Times New Roman"/>
          <w:sz w:val="32"/>
          <w:szCs w:val="32"/>
        </w:rPr>
      </w:pPr>
    </w:p>
    <w:p>
      <w:pPr>
        <w:spacing w:line="460" w:lineRule="exact"/>
        <w:ind w:firstLine="640" w:firstLineChars="200"/>
        <w:jc w:val="center"/>
        <w:rPr>
          <w:rFonts w:ascii="仿宋" w:hAnsi="仿宋" w:eastAsia="仿宋" w:cs="Times New Roman"/>
          <w:sz w:val="32"/>
          <w:szCs w:val="32"/>
        </w:rPr>
      </w:pPr>
      <w:r>
        <w:rPr>
          <w:rFonts w:hint="eastAsia" w:ascii="仿宋" w:hAnsi="仿宋" w:eastAsia="仿宋" w:cs="Times New Roman"/>
          <w:sz w:val="32"/>
          <w:szCs w:val="32"/>
        </w:rPr>
        <w:t>详见附件</w:t>
      </w:r>
    </w:p>
    <w:p>
      <w:pPr>
        <w:spacing w:line="460" w:lineRule="exact"/>
        <w:jc w:val="center"/>
        <w:rPr>
          <w:rFonts w:ascii="仿宋" w:hAnsi="仿宋" w:eastAsia="仿宋" w:cs="方正小标宋简体"/>
          <w:sz w:val="28"/>
          <w:szCs w:val="44"/>
        </w:rPr>
      </w:pPr>
    </w:p>
    <w:p>
      <w:pPr>
        <w:spacing w:line="460" w:lineRule="exact"/>
        <w:jc w:val="center"/>
        <w:rPr>
          <w:rFonts w:hint="eastAsia" w:ascii="仿宋" w:hAnsi="仿宋" w:eastAsia="仿宋" w:cs="方正小标宋简体"/>
          <w:b/>
          <w:sz w:val="44"/>
          <w:szCs w:val="44"/>
        </w:rPr>
      </w:pPr>
      <w:r>
        <w:rPr>
          <w:rFonts w:hint="eastAsia" w:ascii="仿宋" w:hAnsi="仿宋" w:eastAsia="仿宋" w:cs="方正小标宋简体"/>
          <w:b/>
          <w:sz w:val="44"/>
          <w:szCs w:val="44"/>
        </w:rPr>
        <w:br w:type="page"/>
      </w:r>
    </w:p>
    <w:p>
      <w:pPr>
        <w:numPr>
          <w:ilvl w:val="0"/>
          <w:numId w:val="4"/>
        </w:numPr>
        <w:spacing w:line="460" w:lineRule="exact"/>
        <w:jc w:val="center"/>
        <w:rPr>
          <w:rFonts w:hint="eastAsia" w:ascii="仿宋" w:hAnsi="仿宋" w:eastAsia="仿宋" w:cs="方正小标宋简体"/>
          <w:b/>
          <w:sz w:val="44"/>
          <w:szCs w:val="44"/>
        </w:rPr>
      </w:pPr>
      <w:r>
        <w:rPr>
          <w:rFonts w:hint="eastAsia" w:ascii="仿宋" w:hAnsi="仿宋" w:eastAsia="仿宋" w:cs="方正小标宋简体"/>
          <w:b/>
          <w:sz w:val="44"/>
          <w:szCs w:val="44"/>
        </w:rPr>
        <w:t xml:space="preserve"> 2016年部门预算情况说明</w:t>
      </w:r>
    </w:p>
    <w:p>
      <w:pPr>
        <w:numPr>
          <w:numId w:val="0"/>
        </w:numPr>
        <w:spacing w:line="460" w:lineRule="exact"/>
        <w:jc w:val="both"/>
        <w:rPr>
          <w:rFonts w:hint="eastAsia" w:ascii="仿宋" w:hAnsi="仿宋" w:eastAsia="仿宋" w:cs="方正小标宋简体"/>
          <w:b/>
          <w:sz w:val="44"/>
          <w:szCs w:val="44"/>
        </w:rPr>
      </w:pPr>
    </w:p>
    <w:p>
      <w:pPr>
        <w:numPr>
          <w:ilvl w:val="0"/>
          <w:numId w:val="5"/>
        </w:numPr>
        <w:spacing w:line="460" w:lineRule="exact"/>
        <w:ind w:firstLine="643" w:firstLineChars="200"/>
        <w:rPr>
          <w:rFonts w:ascii="仿宋" w:hAnsi="仿宋" w:eastAsia="仿宋" w:cs="黑体"/>
          <w:b/>
          <w:sz w:val="32"/>
          <w:szCs w:val="32"/>
        </w:rPr>
      </w:pPr>
      <w:r>
        <w:rPr>
          <w:rFonts w:hint="eastAsia" w:ascii="仿宋" w:hAnsi="仿宋" w:eastAsia="仿宋" w:cs="黑体"/>
          <w:b/>
          <w:sz w:val="32"/>
          <w:szCs w:val="32"/>
        </w:rPr>
        <w:t>部门预算收支增减变化情况</w:t>
      </w:r>
    </w:p>
    <w:p>
      <w:pPr>
        <w:spacing w:line="460" w:lineRule="exact"/>
        <w:ind w:firstLine="640"/>
        <w:rPr>
          <w:rFonts w:ascii="仿宋" w:hAnsi="仿宋" w:eastAsia="仿宋" w:cs="黑体"/>
          <w:sz w:val="32"/>
          <w:szCs w:val="32"/>
        </w:rPr>
      </w:pPr>
      <w:r>
        <w:rPr>
          <w:rFonts w:hint="eastAsia" w:ascii="仿宋" w:hAnsi="仿宋" w:eastAsia="仿宋" w:cs="仿宋_GB2312"/>
          <w:sz w:val="32"/>
          <w:szCs w:val="32"/>
        </w:rPr>
        <w:t>2016年本部门收入预算</w:t>
      </w:r>
      <w:r>
        <w:rPr>
          <w:rFonts w:ascii="仿宋" w:hAnsi="仿宋" w:eastAsia="仿宋" w:cs="仿宋_GB2312"/>
          <w:sz w:val="32"/>
          <w:szCs w:val="32"/>
        </w:rPr>
        <w:t>1561.79</w:t>
      </w:r>
      <w:r>
        <w:rPr>
          <w:rFonts w:hint="eastAsia" w:ascii="仿宋" w:hAnsi="仿宋" w:eastAsia="仿宋" w:cs="仿宋_GB2312"/>
          <w:sz w:val="32"/>
          <w:szCs w:val="32"/>
        </w:rPr>
        <w:t>万元，比上年增加70.19万元，增长5%，主要原因是基本工资、津贴补贴提高标准；支出预算</w:t>
      </w:r>
      <w:r>
        <w:rPr>
          <w:rFonts w:ascii="仿宋" w:hAnsi="仿宋" w:eastAsia="仿宋" w:cs="仿宋_GB2312"/>
          <w:sz w:val="32"/>
          <w:szCs w:val="32"/>
        </w:rPr>
        <w:t>1561.79</w:t>
      </w:r>
      <w:r>
        <w:rPr>
          <w:rFonts w:hint="eastAsia" w:ascii="仿宋" w:hAnsi="仿宋" w:eastAsia="仿宋" w:cs="仿宋_GB2312"/>
          <w:sz w:val="32"/>
          <w:szCs w:val="32"/>
        </w:rPr>
        <w:t>万元，比上年增加70.19万元，增长5%，主要原因是基本工资、津贴补贴提高标准。</w:t>
      </w:r>
    </w:p>
    <w:p>
      <w:pPr>
        <w:numPr>
          <w:ilvl w:val="0"/>
          <w:numId w:val="5"/>
        </w:numPr>
        <w:spacing w:line="460" w:lineRule="exact"/>
        <w:ind w:firstLine="643" w:firstLineChars="200"/>
        <w:rPr>
          <w:rFonts w:ascii="仿宋" w:hAnsi="仿宋" w:eastAsia="仿宋" w:cs="黑体"/>
          <w:b/>
          <w:sz w:val="32"/>
          <w:szCs w:val="32"/>
        </w:rPr>
      </w:pPr>
      <w:r>
        <w:rPr>
          <w:rFonts w:hint="eastAsia" w:ascii="仿宋" w:hAnsi="仿宋" w:eastAsia="仿宋" w:cs="黑体"/>
          <w:b/>
          <w:sz w:val="32"/>
          <w:szCs w:val="32"/>
        </w:rPr>
        <w:t>“三公”经费安排情况说明</w:t>
      </w:r>
    </w:p>
    <w:p>
      <w:pPr>
        <w:spacing w:line="460" w:lineRule="exact"/>
        <w:ind w:firstLine="640"/>
        <w:rPr>
          <w:rFonts w:ascii="仿宋" w:hAnsi="仿宋" w:eastAsia="仿宋" w:cs="仿宋_GB2312"/>
          <w:sz w:val="32"/>
          <w:szCs w:val="32"/>
        </w:rPr>
      </w:pPr>
      <w:r>
        <w:rPr>
          <w:rFonts w:hint="eastAsia" w:ascii="仿宋" w:hAnsi="仿宋" w:eastAsia="仿宋" w:cs="仿宋_GB2312"/>
          <w:sz w:val="32"/>
          <w:szCs w:val="32"/>
        </w:rPr>
        <w:t>2016年本部门“三公”经费预算安排0万元，比上年增加/减少0万元，增长/下降0%，主要原因是与上年保持不变。其中：因公出国（境）费0万元，比上年增加/减少0万元，增长/下降0%，主要原因是与上年保持不变；公务用车购置及运行费0万元，比上年增加/减少0万元，增长/下降0%，主要原因是与上年保持不变；公务接待费0万元，比上年增加/减少0万元，增长/下降0%，主要原因是本部门无“三公”经费预算安排。</w:t>
      </w:r>
    </w:p>
    <w:p>
      <w:pPr>
        <w:numPr>
          <w:ilvl w:val="0"/>
          <w:numId w:val="5"/>
        </w:numPr>
        <w:spacing w:line="460" w:lineRule="exact"/>
        <w:ind w:firstLine="643" w:firstLineChars="200"/>
        <w:rPr>
          <w:rFonts w:ascii="仿宋" w:hAnsi="仿宋" w:eastAsia="仿宋" w:cs="黑体"/>
          <w:b/>
          <w:sz w:val="32"/>
          <w:szCs w:val="32"/>
        </w:rPr>
      </w:pPr>
      <w:r>
        <w:rPr>
          <w:rFonts w:hint="eastAsia" w:ascii="仿宋" w:hAnsi="仿宋" w:eastAsia="仿宋" w:cs="黑体"/>
          <w:b/>
          <w:sz w:val="32"/>
          <w:szCs w:val="32"/>
        </w:rPr>
        <w:t>机关运行经费安排情况</w:t>
      </w:r>
    </w:p>
    <w:p>
      <w:pPr>
        <w:spacing w:line="460" w:lineRule="exact"/>
        <w:rPr>
          <w:rFonts w:ascii="仿宋" w:hAnsi="仿宋" w:eastAsia="仿宋" w:cs="仿宋_GB2312"/>
          <w:sz w:val="32"/>
          <w:szCs w:val="32"/>
        </w:rPr>
      </w:pPr>
      <w:r>
        <w:rPr>
          <w:rFonts w:hint="eastAsia" w:ascii="仿宋" w:hAnsi="仿宋" w:eastAsia="仿宋" w:cs="仿宋_GB2312"/>
          <w:sz w:val="32"/>
          <w:szCs w:val="32"/>
        </w:rPr>
        <w:t xml:space="preserve">    2016年，本部门机关运行经费安排0万元，比上年增加/减少0万元，增长/下降0%，主要原因是无。其中：办公费0，印刷费0，邮电费0，差旅费0，会议费0，福利费0，日常维修费0，专用材料及一般设备购置费0，办公用房水电费0，办公用房取暖费0，办公用房物业管理费0，公务用车运行维护费0等。因本部门本年度无机关运行经费预算安排。</w:t>
      </w:r>
    </w:p>
    <w:p>
      <w:pPr>
        <w:numPr>
          <w:ilvl w:val="0"/>
          <w:numId w:val="5"/>
        </w:numPr>
        <w:spacing w:line="460" w:lineRule="exact"/>
        <w:ind w:firstLine="643" w:firstLineChars="200"/>
        <w:rPr>
          <w:rFonts w:ascii="仿宋" w:hAnsi="仿宋" w:eastAsia="仿宋" w:cs="黑体"/>
          <w:b/>
          <w:sz w:val="32"/>
          <w:szCs w:val="32"/>
        </w:rPr>
      </w:pPr>
      <w:r>
        <w:rPr>
          <w:rFonts w:hint="eastAsia" w:ascii="仿宋" w:hAnsi="仿宋" w:eastAsia="仿宋" w:cs="黑体"/>
          <w:b/>
          <w:sz w:val="32"/>
          <w:szCs w:val="32"/>
        </w:rPr>
        <w:t>政府采购情况</w:t>
      </w:r>
    </w:p>
    <w:p>
      <w:pPr>
        <w:spacing w:line="460" w:lineRule="exact"/>
        <w:rPr>
          <w:rFonts w:ascii="仿宋" w:hAnsi="仿宋" w:eastAsia="仿宋" w:cs="仿宋_GB2312"/>
          <w:sz w:val="32"/>
          <w:szCs w:val="32"/>
        </w:rPr>
      </w:pPr>
      <w:r>
        <w:rPr>
          <w:rFonts w:hint="eastAsia" w:ascii="仿宋" w:hAnsi="仿宋" w:eastAsia="仿宋" w:cs="仿宋_GB2312"/>
          <w:sz w:val="32"/>
          <w:szCs w:val="32"/>
        </w:rPr>
        <w:t xml:space="preserve">    2016年本部门政府采购安排0万元，其中：货物类采购预算0万元，工程类采购预算0万元，服务类采购预算0万元等。因本部门本年度无政府采购预算安排。</w:t>
      </w:r>
    </w:p>
    <w:p>
      <w:pPr>
        <w:numPr>
          <w:ilvl w:val="0"/>
          <w:numId w:val="5"/>
        </w:numPr>
        <w:spacing w:line="460" w:lineRule="exact"/>
        <w:ind w:firstLine="640" w:firstLineChars="200"/>
        <w:rPr>
          <w:rFonts w:ascii="仿宋" w:hAnsi="仿宋" w:eastAsia="仿宋" w:cs="黑体"/>
          <w:sz w:val="32"/>
          <w:szCs w:val="32"/>
        </w:rPr>
      </w:pPr>
      <w:r>
        <w:rPr>
          <w:rFonts w:hint="eastAsia" w:ascii="仿宋" w:hAnsi="仿宋" w:eastAsia="仿宋" w:cs="黑体"/>
          <w:sz w:val="32"/>
          <w:szCs w:val="32"/>
        </w:rPr>
        <w:t>国有资产占有使用情况</w:t>
      </w:r>
    </w:p>
    <w:p>
      <w:pPr>
        <w:spacing w:line="460" w:lineRule="exact"/>
        <w:ind w:firstLine="640"/>
        <w:rPr>
          <w:rFonts w:ascii="仿宋" w:hAnsi="仿宋" w:eastAsia="仿宋" w:cs="黑体"/>
          <w:sz w:val="32"/>
          <w:szCs w:val="32"/>
        </w:rPr>
      </w:pPr>
      <w:r>
        <w:rPr>
          <w:rFonts w:hint="eastAsia" w:ascii="仿宋" w:hAnsi="仿宋" w:eastAsia="仿宋" w:cs="仿宋_GB2312"/>
          <w:sz w:val="32"/>
          <w:szCs w:val="32"/>
        </w:rPr>
        <w:t>截至2016年4月15日，本部门无使用国有资产情况。无车辆。</w:t>
      </w:r>
    </w:p>
    <w:p>
      <w:pPr>
        <w:numPr>
          <w:ilvl w:val="0"/>
          <w:numId w:val="5"/>
        </w:numPr>
        <w:spacing w:line="460" w:lineRule="exact"/>
        <w:ind w:firstLine="640" w:firstLineChars="200"/>
        <w:rPr>
          <w:rFonts w:ascii="仿宋" w:hAnsi="仿宋" w:eastAsia="仿宋" w:cs="黑体"/>
          <w:sz w:val="32"/>
          <w:szCs w:val="32"/>
        </w:rPr>
      </w:pPr>
      <w:r>
        <w:rPr>
          <w:rFonts w:hint="eastAsia" w:ascii="仿宋" w:hAnsi="仿宋" w:eastAsia="仿宋" w:cs="黑体"/>
          <w:sz w:val="32"/>
          <w:szCs w:val="32"/>
        </w:rPr>
        <w:t>预算绩效信息公开情况</w:t>
      </w:r>
    </w:p>
    <w:p>
      <w:pPr>
        <w:spacing w:line="460" w:lineRule="exact"/>
        <w:ind w:firstLine="640"/>
        <w:rPr>
          <w:rFonts w:ascii="仿宋" w:hAnsi="仿宋" w:eastAsia="仿宋" w:cs="仿宋_GB2312"/>
          <w:sz w:val="32"/>
          <w:szCs w:val="32"/>
        </w:rPr>
      </w:pPr>
      <w:r>
        <w:rPr>
          <w:rFonts w:hint="eastAsia" w:ascii="仿宋" w:hAnsi="仿宋" w:eastAsia="仿宋" w:cs="仿宋_GB2312"/>
          <w:sz w:val="32"/>
          <w:szCs w:val="32"/>
        </w:rPr>
        <w:t>2016年，本部门未推进预算绩效信息公开的有关工作。</w:t>
      </w:r>
    </w:p>
    <w:p>
      <w:pPr>
        <w:spacing w:line="460" w:lineRule="exact"/>
        <w:ind w:firstLine="640"/>
        <w:rPr>
          <w:rFonts w:ascii="仿宋" w:hAnsi="仿宋" w:eastAsia="仿宋" w:cs="方正小标宋简体"/>
          <w:b/>
          <w:sz w:val="44"/>
          <w:szCs w:val="44"/>
        </w:rPr>
      </w:pPr>
    </w:p>
    <w:p>
      <w:pPr>
        <w:spacing w:line="460" w:lineRule="exact"/>
        <w:jc w:val="center"/>
        <w:rPr>
          <w:rFonts w:ascii="仿宋" w:hAnsi="仿宋" w:eastAsia="仿宋" w:cs="方正小标宋简体"/>
          <w:b/>
          <w:sz w:val="44"/>
          <w:szCs w:val="44"/>
        </w:rPr>
      </w:pPr>
      <w:r>
        <w:rPr>
          <w:rFonts w:hint="eastAsia" w:ascii="仿宋" w:hAnsi="仿宋" w:eastAsia="仿宋" w:cs="方正小标宋简体"/>
          <w:b/>
          <w:sz w:val="44"/>
          <w:szCs w:val="44"/>
        </w:rPr>
        <w:t>第四部分  名词解释</w:t>
      </w:r>
    </w:p>
    <w:p>
      <w:pPr>
        <w:spacing w:line="460" w:lineRule="exact"/>
        <w:ind w:firstLine="640" w:firstLineChars="200"/>
        <w:rPr>
          <w:rFonts w:ascii="仿宋" w:hAnsi="仿宋" w:eastAsia="仿宋"/>
          <w:b/>
          <w:sz w:val="32"/>
        </w:rPr>
      </w:pPr>
      <w:r>
        <w:rPr>
          <w:rFonts w:hint="eastAsia" w:ascii="仿宋" w:hAnsi="仿宋" w:eastAsia="仿宋"/>
          <w:sz w:val="32"/>
        </w:rPr>
        <w:t>为便于社会公众的理解，各部门需对公开内容中涉及的专业名词进行解释如下：</w:t>
      </w:r>
    </w:p>
    <w:p>
      <w:pPr>
        <w:numPr>
          <w:ilvl w:val="0"/>
          <w:numId w:val="6"/>
        </w:numPr>
        <w:spacing w:line="460" w:lineRule="exact"/>
        <w:ind w:firstLine="643" w:firstLineChars="200"/>
        <w:rPr>
          <w:rFonts w:ascii="仿宋" w:hAnsi="仿宋" w:eastAsia="仿宋"/>
          <w:sz w:val="32"/>
        </w:rPr>
      </w:pPr>
      <w:r>
        <w:rPr>
          <w:rFonts w:hint="eastAsia" w:ascii="仿宋" w:hAnsi="仿宋" w:eastAsia="仿宋"/>
          <w:b/>
          <w:sz w:val="32"/>
        </w:rPr>
        <w:t>财政拨款收入：</w:t>
      </w:r>
      <w:r>
        <w:rPr>
          <w:rFonts w:hint="eastAsia" w:ascii="仿宋" w:hAnsi="仿宋" w:eastAsia="仿宋"/>
          <w:sz w:val="32"/>
        </w:rPr>
        <w:t>指财政当年拨付的资金事业收入。</w:t>
      </w:r>
    </w:p>
    <w:p>
      <w:pPr>
        <w:spacing w:line="460" w:lineRule="exact"/>
        <w:ind w:firstLine="643" w:firstLineChars="200"/>
        <w:rPr>
          <w:rFonts w:ascii="仿宋" w:hAnsi="仿宋" w:eastAsia="仿宋"/>
          <w:sz w:val="32"/>
        </w:rPr>
      </w:pPr>
      <w:r>
        <w:rPr>
          <w:rFonts w:hint="eastAsia" w:ascii="仿宋" w:hAnsi="仿宋" w:eastAsia="仿宋"/>
          <w:b/>
          <w:sz w:val="32"/>
        </w:rPr>
        <w:t>二、事业收入：</w:t>
      </w:r>
      <w:r>
        <w:rPr>
          <w:rFonts w:hint="eastAsia" w:ascii="仿宋" w:hAnsi="仿宋" w:eastAsia="仿宋"/>
          <w:sz w:val="32"/>
        </w:rPr>
        <w:t>指事业单位开展专业业务活动及辅动所取得的收入。</w:t>
      </w:r>
    </w:p>
    <w:p>
      <w:pPr>
        <w:spacing w:line="460" w:lineRule="exact"/>
        <w:ind w:firstLine="643" w:firstLineChars="200"/>
        <w:rPr>
          <w:rFonts w:ascii="仿宋" w:hAnsi="仿宋" w:eastAsia="仿宋"/>
          <w:sz w:val="32"/>
        </w:rPr>
      </w:pPr>
      <w:r>
        <w:rPr>
          <w:rFonts w:hint="eastAsia" w:ascii="仿宋" w:hAnsi="仿宋" w:eastAsia="仿宋"/>
          <w:b/>
          <w:sz w:val="32"/>
        </w:rPr>
        <w:t>三、经营收入：</w:t>
      </w:r>
      <w:r>
        <w:rPr>
          <w:rFonts w:hint="eastAsia" w:ascii="仿宋" w:hAnsi="仿宋" w:eastAsia="仿宋"/>
          <w:sz w:val="32"/>
        </w:rPr>
        <w:t>指事业单位在专业业务活动及其辅助活动之外开展非独立核算经营活动取得的收入。</w:t>
      </w:r>
    </w:p>
    <w:p>
      <w:pPr>
        <w:spacing w:line="460" w:lineRule="exact"/>
        <w:ind w:firstLine="643" w:firstLineChars="200"/>
        <w:rPr>
          <w:rFonts w:ascii="仿宋" w:hAnsi="仿宋" w:eastAsia="仿宋"/>
          <w:sz w:val="32"/>
        </w:rPr>
      </w:pPr>
      <w:r>
        <w:rPr>
          <w:rFonts w:hint="eastAsia" w:ascii="仿宋" w:hAnsi="仿宋" w:eastAsia="仿宋"/>
          <w:b/>
          <w:sz w:val="32"/>
        </w:rPr>
        <w:t>四、其他收入：</w:t>
      </w:r>
      <w:r>
        <w:rPr>
          <w:rFonts w:hint="eastAsia" w:ascii="仿宋" w:hAnsi="仿宋" w:eastAsia="仿宋"/>
          <w:sz w:val="32"/>
        </w:rPr>
        <w:t>指除上述“财政拨款收入”、“事业收入”、“经营收入”等以外的收入。主要是非本级财政拨款、存款利息收入、事业单位固定资产出租收入等。</w:t>
      </w:r>
    </w:p>
    <w:p>
      <w:pPr>
        <w:spacing w:line="460" w:lineRule="exact"/>
        <w:ind w:firstLine="643" w:firstLineChars="200"/>
        <w:rPr>
          <w:rFonts w:ascii="仿宋" w:hAnsi="仿宋" w:eastAsia="仿宋"/>
          <w:sz w:val="32"/>
        </w:rPr>
      </w:pPr>
      <w:r>
        <w:rPr>
          <w:rFonts w:hint="eastAsia" w:ascii="仿宋" w:hAnsi="仿宋" w:eastAsia="仿宋"/>
          <w:b/>
          <w:sz w:val="32"/>
        </w:rPr>
        <w:t>五、用事业基金弥补收支差额：</w:t>
      </w:r>
      <w:r>
        <w:rPr>
          <w:rFonts w:hint="eastAsia" w:ascii="仿宋" w:hAnsi="仿宋" w:eastAsia="仿宋"/>
          <w:sz w:val="32"/>
        </w:rPr>
        <w:t>指事业单位在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460" w:lineRule="exact"/>
        <w:ind w:firstLine="643" w:firstLineChars="200"/>
        <w:rPr>
          <w:rFonts w:ascii="仿宋" w:hAnsi="仿宋" w:eastAsia="仿宋"/>
          <w:sz w:val="32"/>
        </w:rPr>
      </w:pPr>
      <w:r>
        <w:rPr>
          <w:rFonts w:hint="eastAsia" w:ascii="仿宋" w:hAnsi="仿宋" w:eastAsia="仿宋"/>
          <w:b/>
          <w:sz w:val="32"/>
        </w:rPr>
        <w:t>六、年初结转和结余：</w:t>
      </w:r>
      <w:r>
        <w:rPr>
          <w:rFonts w:hint="eastAsia" w:ascii="仿宋" w:hAnsi="仿宋" w:eastAsia="仿宋"/>
          <w:sz w:val="32"/>
        </w:rPr>
        <w:t>指以前年度尚未完成、结转到本年按有关规定继续使用的资金。</w:t>
      </w:r>
    </w:p>
    <w:p>
      <w:pPr>
        <w:spacing w:line="460" w:lineRule="exact"/>
        <w:ind w:firstLine="643" w:firstLineChars="200"/>
        <w:rPr>
          <w:rFonts w:ascii="仿宋" w:hAnsi="仿宋" w:eastAsia="仿宋"/>
          <w:sz w:val="32"/>
        </w:rPr>
      </w:pPr>
      <w:r>
        <w:rPr>
          <w:rFonts w:hint="eastAsia" w:ascii="仿宋" w:hAnsi="仿宋" w:eastAsia="仿宋"/>
          <w:b/>
          <w:sz w:val="32"/>
        </w:rPr>
        <w:t>七、结余分配：</w:t>
      </w:r>
      <w:r>
        <w:rPr>
          <w:rFonts w:hint="eastAsia" w:ascii="仿宋" w:hAnsi="仿宋" w:eastAsia="仿宋"/>
          <w:sz w:val="32"/>
        </w:rPr>
        <w:t>指事业事位按规定提取的职工福利基金、事业基金和缴纳的所得税，以及建设单位按规定应交回的基本建设竣工项目结余资金。</w:t>
      </w:r>
    </w:p>
    <w:p>
      <w:pPr>
        <w:spacing w:line="460" w:lineRule="exact"/>
        <w:ind w:firstLine="643" w:firstLineChars="200"/>
        <w:rPr>
          <w:rFonts w:ascii="仿宋" w:hAnsi="仿宋" w:eastAsia="仿宋"/>
          <w:sz w:val="32"/>
        </w:rPr>
      </w:pPr>
      <w:r>
        <w:rPr>
          <w:rFonts w:hint="eastAsia" w:ascii="仿宋" w:hAnsi="仿宋" w:eastAsia="仿宋"/>
          <w:b/>
          <w:sz w:val="32"/>
        </w:rPr>
        <w:t>八、年末结转和结余：</w:t>
      </w:r>
      <w:r>
        <w:rPr>
          <w:rFonts w:hint="eastAsia" w:ascii="仿宋" w:hAnsi="仿宋" w:eastAsia="仿宋"/>
          <w:sz w:val="32"/>
        </w:rPr>
        <w:t>指本年度或以前年度预算安排、因客观条件发生变化无法按原计划实施，需要延迟到以后年度按有关规定继续使用的资金。</w:t>
      </w:r>
    </w:p>
    <w:p>
      <w:pPr>
        <w:spacing w:line="460" w:lineRule="exact"/>
        <w:ind w:firstLine="643" w:firstLineChars="200"/>
        <w:rPr>
          <w:rFonts w:ascii="仿宋" w:hAnsi="仿宋" w:eastAsia="仿宋"/>
          <w:sz w:val="32"/>
        </w:rPr>
      </w:pPr>
      <w:r>
        <w:rPr>
          <w:rFonts w:hint="eastAsia" w:ascii="仿宋" w:hAnsi="仿宋" w:eastAsia="仿宋"/>
          <w:b/>
          <w:sz w:val="32"/>
        </w:rPr>
        <w:t>九、基本支出：</w:t>
      </w:r>
      <w:r>
        <w:rPr>
          <w:rFonts w:hint="eastAsia" w:ascii="仿宋" w:hAnsi="仿宋" w:eastAsia="仿宋"/>
          <w:sz w:val="32"/>
        </w:rPr>
        <w:t>指为保障机构正常运转、完成日常工作任务面发生的人员支出和公用支出。</w:t>
      </w:r>
    </w:p>
    <w:p>
      <w:pPr>
        <w:spacing w:line="460" w:lineRule="exact"/>
        <w:ind w:firstLine="643" w:firstLineChars="200"/>
        <w:rPr>
          <w:rFonts w:ascii="仿宋" w:hAnsi="仿宋" w:eastAsia="仿宋"/>
          <w:sz w:val="32"/>
        </w:rPr>
      </w:pPr>
      <w:r>
        <w:rPr>
          <w:rFonts w:hint="eastAsia" w:ascii="仿宋" w:hAnsi="仿宋" w:eastAsia="仿宋"/>
          <w:b/>
          <w:sz w:val="32"/>
        </w:rPr>
        <w:t>十、项目支出：</w:t>
      </w:r>
      <w:r>
        <w:rPr>
          <w:rFonts w:hint="eastAsia" w:ascii="仿宋" w:hAnsi="仿宋" w:eastAsia="仿宋"/>
          <w:sz w:val="32"/>
        </w:rPr>
        <w:t>指在基本支出这外为完成特定行政任务和事业发展目标所发生的支出。</w:t>
      </w:r>
    </w:p>
    <w:p>
      <w:pPr>
        <w:spacing w:line="460" w:lineRule="exact"/>
        <w:ind w:firstLine="643" w:firstLineChars="200"/>
        <w:rPr>
          <w:rFonts w:ascii="仿宋" w:hAnsi="仿宋" w:eastAsia="仿宋"/>
          <w:sz w:val="32"/>
        </w:rPr>
      </w:pPr>
      <w:r>
        <w:rPr>
          <w:rFonts w:hint="eastAsia" w:ascii="仿宋" w:hAnsi="仿宋" w:eastAsia="仿宋"/>
          <w:b/>
          <w:sz w:val="32"/>
        </w:rPr>
        <w:t>十一、经营支出：</w:t>
      </w:r>
      <w:r>
        <w:rPr>
          <w:rFonts w:hint="eastAsia" w:ascii="仿宋" w:hAnsi="仿宋" w:eastAsia="仿宋"/>
          <w:sz w:val="32"/>
        </w:rPr>
        <w:t>指事业单位在专业业务活动及其辅助活动之外开展非独立核算经营活动所发生的支出。</w:t>
      </w:r>
    </w:p>
    <w:p>
      <w:pPr>
        <w:spacing w:line="460" w:lineRule="exact"/>
        <w:ind w:firstLine="643" w:firstLineChars="200"/>
        <w:rPr>
          <w:rFonts w:ascii="仿宋" w:hAnsi="仿宋" w:eastAsia="仿宋"/>
          <w:sz w:val="32"/>
        </w:rPr>
      </w:pPr>
      <w:r>
        <w:rPr>
          <w:rFonts w:hint="eastAsia" w:ascii="仿宋" w:hAnsi="仿宋" w:eastAsia="仿宋"/>
          <w:b/>
          <w:sz w:val="32"/>
        </w:rPr>
        <w:t>十二、“三公”经费：</w:t>
      </w:r>
      <w:r>
        <w:rPr>
          <w:rFonts w:hint="eastAsia" w:ascii="仿宋" w:hAnsi="仿宋" w:eastAsia="仿宋"/>
          <w:sz w:val="32"/>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pPr>
        <w:spacing w:line="460" w:lineRule="exact"/>
        <w:ind w:firstLine="643" w:firstLineChars="200"/>
        <w:rPr>
          <w:rFonts w:ascii="仿宋" w:hAnsi="仿宋" w:eastAsia="仿宋"/>
          <w:sz w:val="32"/>
        </w:rPr>
      </w:pPr>
      <w:r>
        <w:rPr>
          <w:rFonts w:hint="eastAsia" w:ascii="仿宋" w:hAnsi="仿宋" w:eastAsia="仿宋"/>
          <w:b/>
          <w:sz w:val="32"/>
        </w:rPr>
        <w:t>十三、机关运行经费：</w:t>
      </w:r>
      <w:r>
        <w:rPr>
          <w:rFonts w:hint="eastAsia" w:ascii="仿宋" w:hAnsi="仿宋" w:eastAsia="仿宋"/>
          <w:sz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56F62A"/>
    <w:multiLevelType w:val="singleLevel"/>
    <w:tmpl w:val="1D56F62A"/>
    <w:lvl w:ilvl="0" w:tentative="0">
      <w:start w:val="3"/>
      <w:numFmt w:val="chineseCounting"/>
      <w:suff w:val="space"/>
      <w:lvlText w:val="第%1部分"/>
      <w:lvlJc w:val="left"/>
      <w:rPr>
        <w:rFonts w:hint="eastAsia"/>
      </w:rPr>
    </w:lvl>
  </w:abstractNum>
  <w:abstractNum w:abstractNumId="1">
    <w:nsid w:val="5A5F2250"/>
    <w:multiLevelType w:val="singleLevel"/>
    <w:tmpl w:val="5A5F2250"/>
    <w:lvl w:ilvl="0" w:tentative="0">
      <w:start w:val="1"/>
      <w:numFmt w:val="chineseCounting"/>
      <w:suff w:val="nothing"/>
      <w:lvlText w:val="%1、"/>
      <w:lvlJc w:val="left"/>
    </w:lvl>
  </w:abstractNum>
  <w:abstractNum w:abstractNumId="2">
    <w:nsid w:val="5A5F2384"/>
    <w:multiLevelType w:val="singleLevel"/>
    <w:tmpl w:val="5A5F2384"/>
    <w:lvl w:ilvl="0" w:tentative="0">
      <w:start w:val="1"/>
      <w:numFmt w:val="chineseCounting"/>
      <w:suff w:val="nothing"/>
      <w:lvlText w:val="%1、"/>
      <w:lvlJc w:val="left"/>
    </w:lvl>
  </w:abstractNum>
  <w:abstractNum w:abstractNumId="3">
    <w:nsid w:val="5A5F2A51"/>
    <w:multiLevelType w:val="singleLevel"/>
    <w:tmpl w:val="5A5F2A51"/>
    <w:lvl w:ilvl="0" w:tentative="0">
      <w:start w:val="1"/>
      <w:numFmt w:val="chineseCounting"/>
      <w:suff w:val="nothing"/>
      <w:lvlText w:val="%1、"/>
      <w:lvlJc w:val="left"/>
    </w:lvl>
  </w:abstractNum>
  <w:abstractNum w:abstractNumId="4">
    <w:nsid w:val="5A5F50C1"/>
    <w:multiLevelType w:val="singleLevel"/>
    <w:tmpl w:val="5A5F50C1"/>
    <w:lvl w:ilvl="0" w:tentative="0">
      <w:start w:val="1"/>
      <w:numFmt w:val="chineseCounting"/>
      <w:suff w:val="nothing"/>
      <w:lvlText w:val="%1、"/>
      <w:lvlJc w:val="left"/>
      <w:rPr>
        <w:b/>
      </w:rPr>
    </w:lvl>
  </w:abstractNum>
  <w:abstractNum w:abstractNumId="5">
    <w:nsid w:val="5A600927"/>
    <w:multiLevelType w:val="singleLevel"/>
    <w:tmpl w:val="5A600927"/>
    <w:lvl w:ilvl="0" w:tentative="0">
      <w:start w:val="1"/>
      <w:numFmt w:val="chineseCounting"/>
      <w:suff w:val="nothing"/>
      <w:lvlText w:val="%1、"/>
      <w:lvlJc w:val="left"/>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81D07C1"/>
    <w:rsid w:val="00013AF2"/>
    <w:rsid w:val="00042115"/>
    <w:rsid w:val="00045F63"/>
    <w:rsid w:val="00064145"/>
    <w:rsid w:val="00113525"/>
    <w:rsid w:val="00141A2E"/>
    <w:rsid w:val="0017746B"/>
    <w:rsid w:val="00191E0E"/>
    <w:rsid w:val="00264C74"/>
    <w:rsid w:val="002B2752"/>
    <w:rsid w:val="0031598D"/>
    <w:rsid w:val="003436FC"/>
    <w:rsid w:val="00445278"/>
    <w:rsid w:val="00446EDE"/>
    <w:rsid w:val="004F4DD4"/>
    <w:rsid w:val="0053384A"/>
    <w:rsid w:val="0053682C"/>
    <w:rsid w:val="00577EE9"/>
    <w:rsid w:val="005B5629"/>
    <w:rsid w:val="00614772"/>
    <w:rsid w:val="00621B70"/>
    <w:rsid w:val="00665AAC"/>
    <w:rsid w:val="00704622"/>
    <w:rsid w:val="00745592"/>
    <w:rsid w:val="00765E3F"/>
    <w:rsid w:val="007F67FD"/>
    <w:rsid w:val="00843788"/>
    <w:rsid w:val="008E7782"/>
    <w:rsid w:val="00930B0A"/>
    <w:rsid w:val="00941C7E"/>
    <w:rsid w:val="0099043B"/>
    <w:rsid w:val="009A2C53"/>
    <w:rsid w:val="00A17B09"/>
    <w:rsid w:val="00A90E5B"/>
    <w:rsid w:val="00AD3028"/>
    <w:rsid w:val="00B23083"/>
    <w:rsid w:val="00BF14A9"/>
    <w:rsid w:val="00CB5C20"/>
    <w:rsid w:val="00D03905"/>
    <w:rsid w:val="00D04C0C"/>
    <w:rsid w:val="00E35D02"/>
    <w:rsid w:val="00EE2C30"/>
    <w:rsid w:val="00F15CD8"/>
    <w:rsid w:val="081D07C1"/>
    <w:rsid w:val="2A2062BC"/>
    <w:rsid w:val="2F300128"/>
    <w:rsid w:val="658E0CA7"/>
    <w:rsid w:val="6D535020"/>
    <w:rsid w:val="78DC62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0"/>
    <w:rPr>
      <w:kern w:val="2"/>
      <w:sz w:val="18"/>
      <w:szCs w:val="18"/>
    </w:rPr>
  </w:style>
  <w:style w:type="character" w:customStyle="1" w:styleId="7">
    <w:name w:val="页脚 Char"/>
    <w:basedOn w:val="4"/>
    <w:link w:val="2"/>
    <w:qFormat/>
    <w:uiPriority w:val="0"/>
    <w:rPr>
      <w:kern w:val="2"/>
      <w:sz w:val="18"/>
      <w:szCs w:val="18"/>
    </w:rPr>
  </w:style>
  <w:style w:type="paragraph" w:styleId="8">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5</Pages>
  <Words>327</Words>
  <Characters>1870</Characters>
  <Lines>15</Lines>
  <Paragraphs>4</Paragraphs>
  <TotalTime>35</TotalTime>
  <ScaleCrop>false</ScaleCrop>
  <LinksUpToDate>false</LinksUpToDate>
  <CharactersWithSpaces>2193</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dcterms:modified xsi:type="dcterms:W3CDTF">2018-05-23T08:35:33Z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