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pacing w:val="-6"/>
          <w:sz w:val="84"/>
          <w:szCs w:val="84"/>
        </w:rPr>
      </w:pPr>
      <w:r>
        <w:rPr>
          <w:rFonts w:hint="eastAsia" w:ascii="方正小标宋简体" w:hAnsi="方正小标宋简体" w:eastAsia="方正小标宋简体" w:cs="方正小标宋简体"/>
          <w:spacing w:val="-6"/>
          <w:sz w:val="84"/>
          <w:szCs w:val="84"/>
        </w:rPr>
        <w:t>蕉岭县审计局部门预算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蕉岭县审计局（部门名称）概况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蕉岭县审计局概况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方正仿宋_GBK" w:eastAsia="仿宋_GB2312" w:cs="方正仿宋_GBK"/>
          <w:kern w:val="0"/>
          <w:sz w:val="32"/>
          <w:szCs w:val="32"/>
        </w:rPr>
        <w:t>贯彻执行国家和省、市有关审计工作的方针政策和法律法规，制定并组织实施审计工作发展规划、专业领域审计工作规划和年度审计计划，对直接审计、调查、和核查的事项依法进行审计评价，做出审计决定或提出审计建议。</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方正仿宋_GBK" w:eastAsia="仿宋_GB2312" w:cs="方正仿宋_GBK"/>
          <w:kern w:val="0"/>
          <w:sz w:val="32"/>
          <w:szCs w:val="32"/>
        </w:rPr>
        <w:t>负责对县本级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承担责任，并负有督促被审计单位整改的责任。</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方正仿宋_GBK" w:eastAsia="仿宋_GB2312" w:cs="方正仿宋_GBK"/>
          <w:kern w:val="0"/>
          <w:sz w:val="32"/>
          <w:szCs w:val="32"/>
        </w:rPr>
        <w:t>向县人民政府和市审计局提出年度县本级预算执行和其他财政收支情况的审计结果报告，受县人民政府委托向县人大常委会提出县本级预算执行情况和其他财政收支情况审计工作报告、审计发现问题的纠正和处理结果报告，向县人民政府和市审计局报告对其他事项的审计和专项审计调查情况及结果，依法向社会公布审计结果，向县人民政府有关部门和镇人民政府通报审计情况和审计结果。</w:t>
      </w:r>
    </w:p>
    <w:p>
      <w:pPr>
        <w:ind w:firstLine="480" w:firstLineChars="15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（四）</w:t>
      </w:r>
      <w:r>
        <w:rPr>
          <w:rFonts w:hint="eastAsia" w:ascii="仿宋_GB2312" w:hAnsi="方正仿宋_GBK" w:eastAsia="仿宋_GB2312" w:cs="方正仿宋_GBK"/>
          <w:kern w:val="0"/>
          <w:sz w:val="32"/>
          <w:szCs w:val="32"/>
        </w:rPr>
        <w:t>直接进行下列审计:</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（1）县本级预算执行和其他财政收支，县本级各部门预算的执行情况、决算和其他财政收支。</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（2）镇级人民政府预算的执行情况、决算和其它财政收支。</w:t>
      </w:r>
    </w:p>
    <w:p>
      <w:pPr>
        <w:ind w:firstLine="480" w:firstLineChars="150"/>
        <w:rPr>
          <w:rFonts w:ascii="仿宋_GB2312" w:hAnsi="仿宋_GB2312" w:eastAsia="仿宋_GB2312" w:cs="仿宋_GB2312"/>
          <w:sz w:val="32"/>
          <w:szCs w:val="32"/>
        </w:rPr>
      </w:pPr>
      <w:r>
        <w:rPr>
          <w:rFonts w:hint="eastAsia" w:ascii="仿宋_GB2312" w:hAnsi="方正仿宋_GBK" w:eastAsia="仿宋_GB2312" w:cs="方正仿宋_GBK"/>
          <w:kern w:val="0"/>
          <w:sz w:val="32"/>
          <w:szCs w:val="32"/>
        </w:rPr>
        <w:t>（3）使用县财政资金的事业单位和社会团体的财务收支。</w:t>
      </w:r>
      <w:r>
        <w:rPr>
          <w:rFonts w:hint="eastAsia" w:ascii="仿宋_GB2312" w:hAnsi="方正仿宋_GBK" w:eastAsia="仿宋_GB2312" w:cs="方正仿宋_GBK"/>
        </w:rPr>
        <w:br w:type="textWrapping"/>
      </w:r>
      <w:r>
        <w:rPr>
          <w:rFonts w:hint="eastAsia" w:ascii="仿宋_GB2312" w:hAnsi="方正仿宋_GBK" w:eastAsia="仿宋_GB2312" w:cs="方正仿宋_GBK"/>
          <w:kern w:val="0"/>
          <w:sz w:val="32"/>
          <w:szCs w:val="32"/>
        </w:rPr>
        <w:t xml:space="preserve">   （4）县人民政府投资和以县人民政府投资为主的建设项目的预算执行情况和决算。</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（5）县属国有企业和金融机构以及县人民政府规定的县属国有资本占控股或主导地位的企业资产、负债、损益。</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（6）县人民政府部门管理的和受县人民政府委托由社会团体管理的社会保障基金、环境保护基金、社会捐赠资金及其他有关基金、资金的财务收支。</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（7）上级审计机关授权审计的省、市驻蕉单位和省、市属企事业单位的财务收支和经济效益，以及国际组织、国际金融机构和外国政府贷款、援助、赠款项目和项目执行单位的财务收支。</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（8）镇级的重大审计事项。</w:t>
      </w:r>
      <w:r>
        <w:rPr>
          <w:rFonts w:hint="eastAsia" w:ascii="仿宋_GB2312" w:hAnsi="方正仿宋_GBK" w:eastAsia="仿宋_GB2312" w:cs="方正仿宋_GBK"/>
          <w:kern w:val="0"/>
          <w:sz w:val="32"/>
          <w:szCs w:val="32"/>
        </w:rPr>
        <w:br w:type="textWrapping"/>
      </w:r>
      <w:r>
        <w:rPr>
          <w:rFonts w:hint="eastAsia" w:ascii="仿宋_GB2312" w:hAnsi="方正仿宋_GBK" w:eastAsia="仿宋_GB2312" w:cs="方正仿宋_GBK"/>
          <w:kern w:val="0"/>
          <w:sz w:val="32"/>
          <w:szCs w:val="32"/>
        </w:rPr>
        <w:t xml:space="preserve">   （9）其他法律法规规定的应由县审计机关进行审计的其他事项。</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方正仿宋_GBK" w:eastAsia="仿宋_GB2312" w:cs="方正仿宋_GBK"/>
          <w:kern w:val="0"/>
          <w:sz w:val="32"/>
          <w:szCs w:val="32"/>
        </w:rPr>
        <w:t>按规定对县党政工作部门党政主要领导干部，镇级党政主要领导干部，县属国有企业领导人员及依法属于县监察和审计局监督对象的其他单位主要领导干部实施经济责任审计。</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方正仿宋_GBK" w:eastAsia="仿宋_GB2312" w:cs="方正仿宋_GBK"/>
          <w:kern w:val="0"/>
          <w:sz w:val="32"/>
          <w:szCs w:val="32"/>
        </w:rPr>
        <w:t>组织实施对财经法律、法规、规章、政策和宏观调控措施执行情况、财政预算管理或国有资产管理使用等与县本级财政收支有关的特定事项进行专项审计调查。</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（七）</w:t>
      </w:r>
      <w:r>
        <w:rPr>
          <w:rFonts w:hint="eastAsia" w:ascii="仿宋_GB2312" w:hAnsi="方正仿宋_GBK" w:eastAsia="仿宋_GB2312" w:cs="方正仿宋_GBK"/>
          <w:kern w:val="0"/>
          <w:sz w:val="32"/>
          <w:szCs w:val="32"/>
        </w:rPr>
        <w:t>依法检查审计决定执行情况，督促纠正和处理审计发现的问题，依法办理被审计单位对审计决定提请行政复议、行政诉讼或县人民政府裁决中的有关事项。协调配合有关部门查处相关重大案件。</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（八）</w:t>
      </w:r>
      <w:r>
        <w:rPr>
          <w:rFonts w:hint="eastAsia" w:ascii="仿宋_GB2312" w:hAnsi="方正仿宋_GBK" w:eastAsia="仿宋_GB2312" w:cs="方正仿宋_GBK"/>
          <w:kern w:val="0"/>
          <w:sz w:val="32"/>
          <w:szCs w:val="32"/>
        </w:rPr>
        <w:t>指导和监督全县内部审计工作和农村集体经济审计工作，核查社会审计机构对依法属于审计监督对象的单位出具的相关审计报告。</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（九）</w:t>
      </w:r>
      <w:r>
        <w:rPr>
          <w:rFonts w:hint="eastAsia" w:ascii="仿宋_GB2312" w:hAnsi="方正仿宋_GBK" w:eastAsia="仿宋_GB2312" w:cs="方正仿宋_GBK"/>
          <w:kern w:val="0"/>
          <w:sz w:val="32"/>
          <w:szCs w:val="32"/>
        </w:rPr>
        <w:t>承办县委、县政府和上级审计机关交办的其他审计事项。</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本部门无下属单位，部门预算为厅（委、局、办）本级预算。</w:t>
      </w:r>
    </w:p>
    <w:p>
      <w:pPr>
        <w:ind w:firstLine="640" w:firstLineChars="200"/>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rPr>
        <w:t>本部门内设机构、人员构成情况：</w:t>
      </w:r>
      <w:r>
        <w:rPr>
          <w:rFonts w:hint="eastAsia" w:ascii="仿宋_GB2312" w:hAnsi="方正仿宋_GBK" w:eastAsia="仿宋_GB2312" w:cs="方正仿宋_GBK"/>
          <w:kern w:val="0"/>
          <w:sz w:val="32"/>
          <w:szCs w:val="32"/>
        </w:rPr>
        <w:t>我局为正局级建制单位，内设机构有办公室、法规股、经济责任审计股、财政金融审计股、行政事业审计股、固定资产投资审计股、经贸审计股；隶属机构有蕉岭县绩效审计中心（正股级事业单位）。全局有行政事业编制13个，事业编制9个，机关工勤编制2个，共计24个。我局共有财政供给人员25人，其中在职人21人，退休人员4人。</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tbl>
      <w:tblPr>
        <w:tblStyle w:val="5"/>
        <w:tblW w:w="9780" w:type="dxa"/>
        <w:tblInd w:w="-730" w:type="dxa"/>
        <w:tblLayout w:type="fixed"/>
        <w:tblCellMar>
          <w:top w:w="0" w:type="dxa"/>
          <w:left w:w="108" w:type="dxa"/>
          <w:bottom w:w="0" w:type="dxa"/>
          <w:right w:w="108" w:type="dxa"/>
        </w:tblCellMar>
      </w:tblPr>
      <w:tblGrid>
        <w:gridCol w:w="3666"/>
        <w:gridCol w:w="1503"/>
        <w:gridCol w:w="3108"/>
        <w:gridCol w:w="1503"/>
      </w:tblGrid>
      <w:tr>
        <w:tblPrEx>
          <w:tblLayout w:type="fixed"/>
          <w:tblCellMar>
            <w:top w:w="0" w:type="dxa"/>
            <w:left w:w="108" w:type="dxa"/>
            <w:bottom w:w="0" w:type="dxa"/>
            <w:right w:w="108" w:type="dxa"/>
          </w:tblCellMar>
        </w:tblPrEx>
        <w:trPr>
          <w:trHeight w:val="499" w:hRule="atLeast"/>
        </w:trPr>
        <w:tc>
          <w:tcPr>
            <w:tcW w:w="9780"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一、收支总体情况表</w:t>
            </w:r>
          </w:p>
        </w:tc>
      </w:tr>
      <w:tr>
        <w:tblPrEx>
          <w:tblLayout w:type="fixed"/>
          <w:tblCellMar>
            <w:top w:w="0" w:type="dxa"/>
            <w:left w:w="108" w:type="dxa"/>
            <w:bottom w:w="0" w:type="dxa"/>
            <w:right w:w="108" w:type="dxa"/>
          </w:tblCellMar>
        </w:tblPrEx>
        <w:trPr>
          <w:trHeight w:val="435" w:hRule="atLeast"/>
        </w:trPr>
        <w:tc>
          <w:tcPr>
            <w:tcW w:w="3666"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Cs w:val="21"/>
              </w:rPr>
            </w:pPr>
            <w:r>
              <w:rPr>
                <w:rFonts w:hint="eastAsia" w:ascii="宋体" w:hAnsi="宋体" w:eastAsia="宋体" w:cs="Arial"/>
                <w:color w:val="000000"/>
                <w:kern w:val="0"/>
                <w:szCs w:val="21"/>
              </w:rPr>
              <w:t>单位名称：蕉岭县审计局</w:t>
            </w:r>
          </w:p>
        </w:tc>
        <w:tc>
          <w:tcPr>
            <w:tcW w:w="1503" w:type="dxa"/>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Cs w:val="21"/>
              </w:rPr>
            </w:pPr>
            <w:r>
              <w:rPr>
                <w:rFonts w:hint="eastAsia" w:ascii="宋体" w:hAnsi="宋体" w:eastAsia="宋体" w:cs="Arial"/>
                <w:b/>
                <w:bCs/>
                <w:color w:val="000000"/>
                <w:kern w:val="0"/>
                <w:szCs w:val="21"/>
              </w:rPr>
              <w:t>　</w:t>
            </w:r>
          </w:p>
        </w:tc>
        <w:tc>
          <w:tcPr>
            <w:tcW w:w="3108" w:type="dxa"/>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Cs w:val="21"/>
              </w:rPr>
            </w:pPr>
            <w:r>
              <w:rPr>
                <w:rFonts w:hint="eastAsia" w:ascii="宋体" w:hAnsi="宋体" w:eastAsia="宋体" w:cs="Arial"/>
                <w:b/>
                <w:bCs/>
                <w:color w:val="000000"/>
                <w:kern w:val="0"/>
                <w:szCs w:val="21"/>
              </w:rPr>
              <w:t>　</w:t>
            </w:r>
          </w:p>
        </w:tc>
        <w:tc>
          <w:tcPr>
            <w:tcW w:w="1503"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Cs w:val="21"/>
              </w:rPr>
            </w:pPr>
            <w:r>
              <w:rPr>
                <w:rFonts w:hint="eastAsia" w:ascii="宋体" w:hAnsi="宋体" w:eastAsia="宋体" w:cs="Arial"/>
                <w:color w:val="000000"/>
                <w:kern w:val="0"/>
                <w:szCs w:val="21"/>
              </w:rPr>
              <w:t>单位：万元</w:t>
            </w:r>
          </w:p>
        </w:tc>
      </w:tr>
      <w:tr>
        <w:tblPrEx>
          <w:tblLayout w:type="fixed"/>
          <w:tblCellMar>
            <w:top w:w="0" w:type="dxa"/>
            <w:left w:w="108" w:type="dxa"/>
            <w:bottom w:w="0" w:type="dxa"/>
            <w:right w:w="108" w:type="dxa"/>
          </w:tblCellMar>
        </w:tblPrEx>
        <w:trPr>
          <w:trHeight w:val="600" w:hRule="atLeast"/>
        </w:trPr>
        <w:tc>
          <w:tcPr>
            <w:tcW w:w="5169"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611"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  项  目</w:t>
            </w:r>
          </w:p>
        </w:tc>
        <w:tc>
          <w:tcPr>
            <w:tcW w:w="1503"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c>
          <w:tcPr>
            <w:tcW w:w="310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  项  目</w:t>
            </w:r>
          </w:p>
        </w:tc>
        <w:tc>
          <w:tcPr>
            <w:tcW w:w="1503"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一、财政拨款</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211.90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100.00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c>
          <w:tcPr>
            <w:tcW w:w="310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108"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503" w:type="dxa"/>
            <w:tcBorders>
              <w:top w:val="nil"/>
              <w:left w:val="single" w:color="000000" w:sz="4" w:space="0"/>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c>
          <w:tcPr>
            <w:tcW w:w="3108" w:type="dxa"/>
            <w:tcBorders>
              <w:top w:val="single" w:color="000000" w:sz="4" w:space="0"/>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108" w:type="dxa"/>
            <w:tcBorders>
              <w:top w:val="nil"/>
              <w:left w:val="nil"/>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3666"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收入总计</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c>
          <w:tcPr>
            <w:tcW w:w="3108"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支出总计</w:t>
            </w:r>
          </w:p>
        </w:tc>
        <w:tc>
          <w:tcPr>
            <w:tcW w:w="1503"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9780"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注：财政拨款收支情况包括一般公共预算、政府性基金预算、国有资本经营预算拨款收支情况。</w:t>
            </w:r>
          </w:p>
        </w:tc>
      </w:tr>
    </w:tbl>
    <w:p>
      <w:pPr>
        <w:rPr>
          <w:rFonts w:hint="eastAsia" w:ascii="方正小标宋简体" w:hAnsi="方正小标宋简体" w:eastAsia="方正小标宋简体" w:cs="方正小标宋简体"/>
          <w:sz w:val="28"/>
          <w:szCs w:val="28"/>
        </w:rPr>
      </w:pPr>
    </w:p>
    <w:p>
      <w:r>
        <w:br w:type="page"/>
      </w:r>
    </w:p>
    <w:tbl>
      <w:tblPr>
        <w:tblStyle w:val="5"/>
        <w:tblW w:w="8960" w:type="dxa"/>
        <w:tblInd w:w="93" w:type="dxa"/>
        <w:tblLayout w:type="fixed"/>
        <w:tblCellMar>
          <w:top w:w="0" w:type="dxa"/>
          <w:left w:w="108" w:type="dxa"/>
          <w:bottom w:w="0" w:type="dxa"/>
          <w:right w:w="108" w:type="dxa"/>
        </w:tblCellMar>
      </w:tblPr>
      <w:tblGrid>
        <w:gridCol w:w="6354"/>
        <w:gridCol w:w="2606"/>
      </w:tblGrid>
      <w:tr>
        <w:tblPrEx>
          <w:tblLayout w:type="fixed"/>
          <w:tblCellMar>
            <w:top w:w="0" w:type="dxa"/>
            <w:left w:w="108" w:type="dxa"/>
            <w:bottom w:w="0" w:type="dxa"/>
            <w:right w:w="108" w:type="dxa"/>
          </w:tblCellMar>
        </w:tblPrEx>
        <w:trPr>
          <w:trHeight w:val="499" w:hRule="atLeast"/>
        </w:trPr>
        <w:tc>
          <w:tcPr>
            <w:tcW w:w="896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二、收入总体情况表</w:t>
            </w:r>
          </w:p>
        </w:tc>
      </w:tr>
      <w:tr>
        <w:tblPrEx>
          <w:tblLayout w:type="fixed"/>
          <w:tblCellMar>
            <w:top w:w="0" w:type="dxa"/>
            <w:left w:w="108" w:type="dxa"/>
            <w:bottom w:w="0" w:type="dxa"/>
            <w:right w:w="108" w:type="dxa"/>
          </w:tblCellMar>
        </w:tblPrEx>
        <w:trPr>
          <w:trHeight w:val="435" w:hRule="atLeast"/>
        </w:trPr>
        <w:tc>
          <w:tcPr>
            <w:tcW w:w="6354"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Cs w:val="21"/>
              </w:rPr>
            </w:pPr>
            <w:r>
              <w:rPr>
                <w:rFonts w:hint="eastAsia" w:ascii="宋体" w:hAnsi="宋体" w:eastAsia="宋体" w:cs="Arial"/>
                <w:color w:val="000000"/>
                <w:kern w:val="0"/>
                <w:szCs w:val="21"/>
              </w:rPr>
              <w:t>单位名称：蕉岭县审计局</w:t>
            </w:r>
          </w:p>
        </w:tc>
        <w:tc>
          <w:tcPr>
            <w:tcW w:w="2606" w:type="dxa"/>
            <w:tcBorders>
              <w:top w:val="nil"/>
              <w:left w:val="nil"/>
              <w:bottom w:val="nil"/>
              <w:right w:val="nil"/>
            </w:tcBorders>
            <w:shd w:val="clear" w:color="auto" w:fill="auto"/>
            <w:vAlign w:val="center"/>
          </w:tcPr>
          <w:p>
            <w:pPr>
              <w:widowControl/>
              <w:jc w:val="right"/>
              <w:rPr>
                <w:rFonts w:ascii="宋体" w:hAnsi="宋体" w:eastAsia="宋体" w:cs="Arial"/>
                <w:kern w:val="0"/>
                <w:szCs w:val="21"/>
              </w:rPr>
            </w:pPr>
            <w:r>
              <w:rPr>
                <w:rFonts w:hint="eastAsia" w:ascii="宋体" w:hAnsi="宋体" w:eastAsia="宋体" w:cs="Arial"/>
                <w:kern w:val="0"/>
                <w:szCs w:val="21"/>
              </w:rPr>
              <w:t>单位：万元</w:t>
            </w:r>
          </w:p>
        </w:tc>
      </w:tr>
      <w:tr>
        <w:tblPrEx>
          <w:tblLayout w:type="fixed"/>
          <w:tblCellMar>
            <w:top w:w="0" w:type="dxa"/>
            <w:left w:w="108" w:type="dxa"/>
            <w:bottom w:w="0" w:type="dxa"/>
            <w:right w:w="108" w:type="dxa"/>
          </w:tblCellMar>
        </w:tblPrEx>
        <w:trPr>
          <w:trHeight w:val="600" w:hRule="atLeast"/>
        </w:trPr>
        <w:tc>
          <w:tcPr>
            <w:tcW w:w="635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2606"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2016年预算</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一般公共预算拨款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基金预算拨款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二、财政专户拨款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教育收费</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其他财政收入拨款</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三、其他资金</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事业单位经营收入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收 入 合 计</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四、上级补助收入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五、附属单位上缴收入</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000000" w:sz="4" w:space="0"/>
              <w:bottom w:val="nil"/>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六、用事业基金弥补收支总额</w:t>
            </w:r>
          </w:p>
        </w:tc>
        <w:tc>
          <w:tcPr>
            <w:tcW w:w="2606"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354"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606" w:type="dxa"/>
            <w:tcBorders>
              <w:top w:val="single" w:color="auto" w:sz="4" w:space="0"/>
              <w:left w:val="nil"/>
              <w:bottom w:val="single" w:color="auto" w:sz="4" w:space="0"/>
              <w:right w:val="single" w:color="auto"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Arial" w:hAnsi="Arial" w:eastAsia="宋体" w:cs="Arial"/>
                <w:kern w:val="0"/>
                <w:sz w:val="22"/>
                <w:szCs w:val="22"/>
              </w:rPr>
            </w:pPr>
            <w:r>
              <w:rPr>
                <w:rFonts w:hint="eastAsia" w:ascii="宋体" w:hAnsi="宋体" w:eastAsia="宋体" w:cs="Arial"/>
                <w:kern w:val="0"/>
                <w:sz w:val="22"/>
                <w:szCs w:val="22"/>
              </w:rPr>
              <w:t>收</w:t>
            </w:r>
            <w:r>
              <w:rPr>
                <w:rFonts w:ascii="Arial" w:hAnsi="Arial" w:eastAsia="宋体" w:cs="Arial"/>
                <w:kern w:val="0"/>
                <w:sz w:val="22"/>
                <w:szCs w:val="22"/>
              </w:rPr>
              <w:t xml:space="preserve">  </w:t>
            </w:r>
            <w:r>
              <w:rPr>
                <w:rFonts w:hint="eastAsia" w:ascii="宋体" w:hAnsi="宋体" w:eastAsia="宋体" w:cs="Arial"/>
                <w:kern w:val="0"/>
                <w:sz w:val="22"/>
                <w:szCs w:val="22"/>
              </w:rPr>
              <w:t>入</w:t>
            </w:r>
            <w:r>
              <w:rPr>
                <w:rFonts w:ascii="Arial" w:hAnsi="Arial" w:eastAsia="宋体" w:cs="Arial"/>
                <w:kern w:val="0"/>
                <w:sz w:val="22"/>
                <w:szCs w:val="22"/>
              </w:rPr>
              <w:t xml:space="preserve">  </w:t>
            </w:r>
            <w:r>
              <w:rPr>
                <w:rFonts w:hint="eastAsia" w:ascii="宋体" w:hAnsi="宋体" w:eastAsia="宋体" w:cs="Arial"/>
                <w:kern w:val="0"/>
                <w:sz w:val="22"/>
                <w:szCs w:val="22"/>
              </w:rPr>
              <w:t>总</w:t>
            </w:r>
            <w:r>
              <w:rPr>
                <w:rFonts w:ascii="Arial" w:hAnsi="Arial" w:eastAsia="宋体" w:cs="Arial"/>
                <w:kern w:val="0"/>
                <w:sz w:val="22"/>
                <w:szCs w:val="22"/>
              </w:rPr>
              <w:t xml:space="preserve">  </w:t>
            </w:r>
            <w:r>
              <w:rPr>
                <w:rFonts w:hint="eastAsia" w:ascii="宋体" w:hAnsi="宋体" w:eastAsia="宋体" w:cs="Arial"/>
                <w:kern w:val="0"/>
                <w:sz w:val="22"/>
                <w:szCs w:val="22"/>
              </w:rPr>
              <w:t>计</w:t>
            </w:r>
          </w:p>
        </w:tc>
        <w:tc>
          <w:tcPr>
            <w:tcW w:w="2606"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bl>
    <w:p>
      <w:pPr>
        <w:rPr>
          <w:rFonts w:ascii="方正小标宋简体" w:hAnsi="方正小标宋简体" w:eastAsia="方正小标宋简体" w:cs="方正小标宋简体"/>
          <w:sz w:val="28"/>
          <w:szCs w:val="28"/>
        </w:rPr>
      </w:pPr>
    </w:p>
    <w:tbl>
      <w:tblPr>
        <w:tblStyle w:val="5"/>
        <w:tblW w:w="8960" w:type="dxa"/>
        <w:tblInd w:w="93" w:type="dxa"/>
        <w:tblLayout w:type="fixed"/>
        <w:tblCellMar>
          <w:top w:w="0" w:type="dxa"/>
          <w:left w:w="108" w:type="dxa"/>
          <w:bottom w:w="0" w:type="dxa"/>
          <w:right w:w="108" w:type="dxa"/>
        </w:tblCellMar>
      </w:tblPr>
      <w:tblGrid>
        <w:gridCol w:w="6039"/>
        <w:gridCol w:w="2921"/>
      </w:tblGrid>
      <w:tr>
        <w:tblPrEx>
          <w:tblLayout w:type="fixed"/>
          <w:tblCellMar>
            <w:top w:w="0" w:type="dxa"/>
            <w:left w:w="108" w:type="dxa"/>
            <w:bottom w:w="0" w:type="dxa"/>
            <w:right w:w="108" w:type="dxa"/>
          </w:tblCellMar>
        </w:tblPrEx>
        <w:trPr>
          <w:trHeight w:val="499" w:hRule="atLeast"/>
        </w:trPr>
        <w:tc>
          <w:tcPr>
            <w:tcW w:w="8960" w:type="dxa"/>
            <w:gridSpan w:val="2"/>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三、支出总体情况表</w:t>
            </w:r>
          </w:p>
        </w:tc>
      </w:tr>
      <w:tr>
        <w:tblPrEx>
          <w:tblLayout w:type="fixed"/>
          <w:tblCellMar>
            <w:top w:w="0" w:type="dxa"/>
            <w:left w:w="108" w:type="dxa"/>
            <w:bottom w:w="0" w:type="dxa"/>
            <w:right w:w="108" w:type="dxa"/>
          </w:tblCellMar>
        </w:tblPrEx>
        <w:trPr>
          <w:trHeight w:val="435" w:hRule="atLeast"/>
        </w:trPr>
        <w:tc>
          <w:tcPr>
            <w:tcW w:w="6039"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Cs w:val="21"/>
              </w:rPr>
            </w:pPr>
            <w:r>
              <w:rPr>
                <w:rFonts w:hint="eastAsia" w:ascii="宋体" w:hAnsi="宋体" w:eastAsia="宋体" w:cs="Arial"/>
                <w:color w:val="000000"/>
                <w:kern w:val="0"/>
                <w:szCs w:val="21"/>
              </w:rPr>
              <w:t>单位名称：蕉岭县审计局</w:t>
            </w:r>
          </w:p>
        </w:tc>
        <w:tc>
          <w:tcPr>
            <w:tcW w:w="2921" w:type="dxa"/>
            <w:tcBorders>
              <w:top w:val="nil"/>
              <w:left w:val="nil"/>
              <w:bottom w:val="nil"/>
              <w:right w:val="nil"/>
            </w:tcBorders>
            <w:shd w:val="clear" w:color="auto" w:fill="auto"/>
            <w:vAlign w:val="center"/>
          </w:tcPr>
          <w:p>
            <w:pPr>
              <w:widowControl/>
              <w:jc w:val="right"/>
              <w:rPr>
                <w:rFonts w:ascii="宋体" w:hAnsi="宋体" w:eastAsia="宋体" w:cs="Arial"/>
                <w:kern w:val="0"/>
                <w:szCs w:val="21"/>
              </w:rPr>
            </w:pPr>
            <w:r>
              <w:rPr>
                <w:rFonts w:hint="eastAsia" w:ascii="宋体" w:hAnsi="宋体" w:eastAsia="宋体" w:cs="Arial"/>
                <w:kern w:val="0"/>
                <w:szCs w:val="21"/>
              </w:rPr>
              <w:t>单位：万元</w:t>
            </w:r>
          </w:p>
        </w:tc>
      </w:tr>
      <w:tr>
        <w:tblPrEx>
          <w:tblLayout w:type="fixed"/>
          <w:tblCellMar>
            <w:top w:w="0" w:type="dxa"/>
            <w:left w:w="108" w:type="dxa"/>
            <w:bottom w:w="0" w:type="dxa"/>
            <w:right w:w="108" w:type="dxa"/>
          </w:tblCellMar>
        </w:tblPrEx>
        <w:trPr>
          <w:trHeight w:val="600" w:hRule="atLeast"/>
        </w:trPr>
        <w:tc>
          <w:tcPr>
            <w:tcW w:w="6039"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2921" w:type="dxa"/>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2018年预算</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一、基本支出</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211.90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工资福利支出</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158.11</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一般商品和服务支出</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16.86</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对个人和家庭的补助</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36.93</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其他资本性支出等</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二、项目支出</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100.00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日常运转类项目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100.00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政府购买服务类项目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其他类项目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科技研发类项目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基本建设类项目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补助企事业类项目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信息化运维类项目</w:t>
            </w:r>
          </w:p>
        </w:tc>
        <w:tc>
          <w:tcPr>
            <w:tcW w:w="2921"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专项业务类项目</w:t>
            </w:r>
          </w:p>
        </w:tc>
        <w:tc>
          <w:tcPr>
            <w:tcW w:w="2921" w:type="dxa"/>
            <w:tcBorders>
              <w:top w:val="nil"/>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因公出国（境）项目</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信息系统建设类项目</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三、事业单位经营支出</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 年 支 出 合 计</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311.90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四、对附属单位补助支出</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五、上缴上级支出</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六、结转下年</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0.00</w:t>
            </w:r>
          </w:p>
        </w:tc>
      </w:tr>
      <w:tr>
        <w:tblPrEx>
          <w:tblLayout w:type="fixed"/>
          <w:tblCellMar>
            <w:top w:w="0" w:type="dxa"/>
            <w:left w:w="108" w:type="dxa"/>
            <w:bottom w:w="0" w:type="dxa"/>
            <w:right w:w="108" w:type="dxa"/>
          </w:tblCellMar>
        </w:tblPrEx>
        <w:trPr>
          <w:trHeight w:val="600" w:hRule="atLeast"/>
        </w:trPr>
        <w:tc>
          <w:tcPr>
            <w:tcW w:w="6039"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2921" w:type="dxa"/>
            <w:tcBorders>
              <w:top w:val="single" w:color="000000" w:sz="4" w:space="0"/>
              <w:left w:val="nil"/>
              <w:bottom w:val="nil"/>
              <w:right w:val="single" w:color="000000" w:sz="4" w:space="0"/>
            </w:tcBorders>
            <w:shd w:val="clear" w:color="000000" w:fill="FFFFFF"/>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60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支　出　总　计</w:t>
            </w:r>
          </w:p>
        </w:tc>
        <w:tc>
          <w:tcPr>
            <w:tcW w:w="2921"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2"/>
                <w:szCs w:val="22"/>
              </w:rPr>
            </w:pPr>
            <w:r>
              <w:rPr>
                <w:rFonts w:ascii="Arial" w:hAnsi="Arial" w:eastAsia="宋体" w:cs="Arial"/>
                <w:kern w:val="0"/>
                <w:sz w:val="22"/>
                <w:szCs w:val="22"/>
              </w:rPr>
              <w:t xml:space="preserve">311.90 </w:t>
            </w:r>
          </w:p>
        </w:tc>
      </w:tr>
    </w:tbl>
    <w:p>
      <w:pPr>
        <w:rPr>
          <w:rFonts w:hint="eastAsia"/>
        </w:rPr>
      </w:pPr>
    </w:p>
    <w:tbl>
      <w:tblPr>
        <w:tblStyle w:val="5"/>
        <w:tblW w:w="9680" w:type="dxa"/>
        <w:tblInd w:w="-677" w:type="dxa"/>
        <w:tblLayout w:type="fixed"/>
        <w:tblCellMar>
          <w:top w:w="0" w:type="dxa"/>
          <w:left w:w="108" w:type="dxa"/>
          <w:bottom w:w="0" w:type="dxa"/>
          <w:right w:w="108" w:type="dxa"/>
        </w:tblCellMar>
      </w:tblPr>
      <w:tblGrid>
        <w:gridCol w:w="3161"/>
        <w:gridCol w:w="1679"/>
        <w:gridCol w:w="3161"/>
        <w:gridCol w:w="1679"/>
      </w:tblGrid>
      <w:tr>
        <w:tblPrEx>
          <w:tblLayout w:type="fixed"/>
          <w:tblCellMar>
            <w:top w:w="0" w:type="dxa"/>
            <w:left w:w="108" w:type="dxa"/>
            <w:bottom w:w="0" w:type="dxa"/>
            <w:right w:w="108" w:type="dxa"/>
          </w:tblCellMar>
        </w:tblPrEx>
        <w:trPr>
          <w:trHeight w:val="499" w:hRule="atLeast"/>
        </w:trPr>
        <w:tc>
          <w:tcPr>
            <w:tcW w:w="9680" w:type="dxa"/>
            <w:gridSpan w:val="4"/>
            <w:tcBorders>
              <w:top w:val="nil"/>
              <w:left w:val="nil"/>
              <w:bottom w:val="nil"/>
              <w:right w:val="nil"/>
            </w:tcBorders>
            <w:shd w:val="clear" w:color="auto" w:fill="auto"/>
            <w:vAlign w:val="center"/>
          </w:tcPr>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四、财政拨款收支总体情况表</w:t>
            </w:r>
          </w:p>
        </w:tc>
      </w:tr>
      <w:tr>
        <w:tblPrEx>
          <w:tblLayout w:type="fixed"/>
          <w:tblCellMar>
            <w:top w:w="0" w:type="dxa"/>
            <w:left w:w="108" w:type="dxa"/>
            <w:bottom w:w="0" w:type="dxa"/>
            <w:right w:w="108" w:type="dxa"/>
          </w:tblCellMar>
        </w:tblPrEx>
        <w:trPr>
          <w:trHeight w:val="402" w:hRule="atLeast"/>
        </w:trPr>
        <w:tc>
          <w:tcPr>
            <w:tcW w:w="3161"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单位名称：蕉岭县审计局</w:t>
            </w:r>
          </w:p>
        </w:tc>
        <w:tc>
          <w:tcPr>
            <w:tcW w:w="1679"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3161" w:type="dxa"/>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0"/>
                <w:szCs w:val="20"/>
              </w:rPr>
            </w:pPr>
          </w:p>
        </w:tc>
        <w:tc>
          <w:tcPr>
            <w:tcW w:w="1679" w:type="dxa"/>
            <w:tcBorders>
              <w:top w:val="nil"/>
              <w:left w:val="nil"/>
              <w:bottom w:val="nil"/>
              <w:right w:val="nil"/>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702" w:hRule="atLeast"/>
        </w:trPr>
        <w:tc>
          <w:tcPr>
            <w:tcW w:w="484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收         入</w:t>
            </w:r>
          </w:p>
        </w:tc>
        <w:tc>
          <w:tcPr>
            <w:tcW w:w="484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支          出</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2018年预算</w:t>
            </w:r>
          </w:p>
        </w:tc>
        <w:tc>
          <w:tcPr>
            <w:tcW w:w="31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项  目</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2018年预算</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311.90 </w:t>
            </w:r>
          </w:p>
        </w:tc>
        <w:tc>
          <w:tcPr>
            <w:tcW w:w="31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一、一般公共预算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311.90 </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0.00 </w:t>
            </w:r>
          </w:p>
        </w:tc>
        <w:tc>
          <w:tcPr>
            <w:tcW w:w="31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二、政府性基金预算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0.00 </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0.00 </w:t>
            </w:r>
          </w:p>
        </w:tc>
        <w:tc>
          <w:tcPr>
            <w:tcW w:w="31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三、国有资本经营预算</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0.00 </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w:t>
            </w:r>
          </w:p>
        </w:tc>
        <w:tc>
          <w:tcPr>
            <w:tcW w:w="16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31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c>
          <w:tcPr>
            <w:tcW w:w="167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w:t>
            </w:r>
          </w:p>
        </w:tc>
      </w:tr>
      <w:tr>
        <w:tblPrEx>
          <w:tblLayout w:type="fixed"/>
          <w:tblCellMar>
            <w:top w:w="0" w:type="dxa"/>
            <w:left w:w="108" w:type="dxa"/>
            <w:bottom w:w="0" w:type="dxa"/>
            <w:right w:w="108" w:type="dxa"/>
          </w:tblCellMar>
        </w:tblPrEx>
        <w:trPr>
          <w:trHeight w:val="702" w:hRule="atLeast"/>
        </w:trPr>
        <w:tc>
          <w:tcPr>
            <w:tcW w:w="31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本年收入合计</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311.90 </w:t>
            </w:r>
          </w:p>
        </w:tc>
        <w:tc>
          <w:tcPr>
            <w:tcW w:w="316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color w:val="000000"/>
                <w:kern w:val="0"/>
                <w:sz w:val="22"/>
                <w:szCs w:val="22"/>
              </w:rPr>
            </w:pPr>
            <w:r>
              <w:rPr>
                <w:rFonts w:hint="eastAsia" w:ascii="宋体" w:hAnsi="宋体" w:eastAsia="宋体" w:cs="Arial"/>
                <w:color w:val="000000"/>
                <w:kern w:val="0"/>
                <w:sz w:val="22"/>
                <w:szCs w:val="22"/>
              </w:rPr>
              <w:t>本年支出合计</w:t>
            </w:r>
          </w:p>
        </w:tc>
        <w:tc>
          <w:tcPr>
            <w:tcW w:w="167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311.90 </w:t>
            </w:r>
          </w:p>
        </w:tc>
      </w:tr>
    </w:tbl>
    <w:p/>
    <w:p>
      <w:pPr>
        <w:widowControl/>
        <w:jc w:val="left"/>
        <w:rPr>
          <w:rFonts w:hint="eastAsia" w:ascii="方正小标宋简体" w:hAnsi="方正小标宋简体" w:eastAsia="方正小标宋简体" w:cs="方正小标宋简体"/>
          <w:sz w:val="32"/>
          <w:szCs w:val="32"/>
        </w:rPr>
      </w:pPr>
    </w:p>
    <w:tbl>
      <w:tblPr>
        <w:tblStyle w:val="5"/>
        <w:tblW w:w="10260" w:type="dxa"/>
        <w:tblInd w:w="-970" w:type="dxa"/>
        <w:tblLayout w:type="fixed"/>
        <w:tblCellMar>
          <w:top w:w="0" w:type="dxa"/>
          <w:left w:w="108" w:type="dxa"/>
          <w:bottom w:w="0" w:type="dxa"/>
          <w:right w:w="108" w:type="dxa"/>
        </w:tblCellMar>
      </w:tblPr>
      <w:tblGrid>
        <w:gridCol w:w="4380"/>
        <w:gridCol w:w="1960"/>
        <w:gridCol w:w="1960"/>
        <w:gridCol w:w="1960"/>
      </w:tblGrid>
      <w:tr>
        <w:tblPrEx>
          <w:tblLayout w:type="fixed"/>
          <w:tblCellMar>
            <w:top w:w="0" w:type="dxa"/>
            <w:left w:w="108" w:type="dxa"/>
            <w:bottom w:w="0" w:type="dxa"/>
            <w:right w:w="108" w:type="dxa"/>
          </w:tblCellMar>
        </w:tblPrEx>
        <w:trPr>
          <w:trHeight w:val="499" w:hRule="atLeast"/>
        </w:trPr>
        <w:tc>
          <w:tcPr>
            <w:tcW w:w="10260" w:type="dxa"/>
            <w:gridSpan w:val="4"/>
            <w:tcBorders>
              <w:top w:val="nil"/>
              <w:left w:val="nil"/>
              <w:bottom w:val="nil"/>
              <w:right w:val="nil"/>
            </w:tcBorders>
            <w:shd w:val="clear" w:color="000000" w:fill="FFFFFF"/>
            <w:vAlign w:val="center"/>
          </w:tcPr>
          <w:p>
            <w:pPr>
              <w:widowControl/>
              <w:jc w:val="center"/>
              <w:rPr>
                <w:rFonts w:hint="eastAsia" w:ascii="宋体" w:hAnsi="宋体" w:eastAsia="宋体" w:cs="Arial"/>
                <w:b/>
                <w:bCs/>
                <w:color w:val="000000"/>
                <w:kern w:val="0"/>
                <w:sz w:val="28"/>
                <w:szCs w:val="28"/>
              </w:rPr>
            </w:pPr>
          </w:p>
          <w:p>
            <w:pPr>
              <w:widowControl/>
              <w:jc w:val="center"/>
              <w:rPr>
                <w:rFonts w:hint="eastAsia" w:ascii="宋体" w:hAnsi="宋体" w:eastAsia="宋体" w:cs="Arial"/>
                <w:b/>
                <w:bCs/>
                <w:color w:val="000000"/>
                <w:kern w:val="0"/>
                <w:sz w:val="28"/>
                <w:szCs w:val="28"/>
              </w:rPr>
            </w:pPr>
          </w:p>
          <w:p>
            <w:pPr>
              <w:widowControl/>
              <w:rPr>
                <w:rFonts w:hint="eastAsia" w:ascii="宋体" w:hAnsi="宋体" w:eastAsia="宋体" w:cs="Arial"/>
                <w:b/>
                <w:bCs/>
                <w:color w:val="000000"/>
                <w:kern w:val="0"/>
                <w:sz w:val="28"/>
                <w:szCs w:val="28"/>
              </w:rPr>
            </w:pPr>
          </w:p>
          <w:p>
            <w:pPr>
              <w:widowControl/>
              <w:jc w:val="center"/>
              <w:rPr>
                <w:rFonts w:ascii="宋体" w:hAnsi="宋体" w:eastAsia="宋体" w:cs="Arial"/>
                <w:b/>
                <w:bCs/>
                <w:color w:val="000000"/>
                <w:kern w:val="0"/>
                <w:sz w:val="32"/>
                <w:szCs w:val="32"/>
              </w:rPr>
            </w:pPr>
            <w:r>
              <w:rPr>
                <w:rFonts w:hint="eastAsia" w:ascii="宋体" w:hAnsi="宋体" w:eastAsia="宋体" w:cs="Arial"/>
                <w:b/>
                <w:bCs/>
                <w:color w:val="000000"/>
                <w:kern w:val="0"/>
                <w:sz w:val="32"/>
                <w:szCs w:val="32"/>
              </w:rPr>
              <w:t>五、一般公共预算支出情况表（按功能分类科目）</w:t>
            </w:r>
          </w:p>
        </w:tc>
      </w:tr>
      <w:tr>
        <w:tblPrEx>
          <w:tblLayout w:type="fixed"/>
          <w:tblCellMar>
            <w:top w:w="0" w:type="dxa"/>
            <w:left w:w="108" w:type="dxa"/>
            <w:bottom w:w="0" w:type="dxa"/>
            <w:right w:w="108" w:type="dxa"/>
          </w:tblCellMar>
        </w:tblPrEx>
        <w:trPr>
          <w:trHeight w:val="402" w:hRule="atLeast"/>
        </w:trPr>
        <w:tc>
          <w:tcPr>
            <w:tcW w:w="4380"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单位名称：蕉岭县审计局</w:t>
            </w: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1960"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380"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5880"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一般公共预算支出</w:t>
            </w:r>
          </w:p>
        </w:tc>
      </w:tr>
      <w:tr>
        <w:tblPrEx>
          <w:tblLayout w:type="fixed"/>
          <w:tblCellMar>
            <w:top w:w="0" w:type="dxa"/>
            <w:left w:w="108" w:type="dxa"/>
            <w:bottom w:w="0" w:type="dxa"/>
            <w:right w:w="108" w:type="dxa"/>
          </w:tblCellMar>
        </w:tblPrEx>
        <w:trPr>
          <w:trHeight w:val="402" w:hRule="atLeast"/>
        </w:trPr>
        <w:tc>
          <w:tcPr>
            <w:tcW w:w="43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196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合计</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311.90</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211.90</w:t>
            </w:r>
          </w:p>
        </w:tc>
        <w:tc>
          <w:tcPr>
            <w:tcW w:w="196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201一般公共服务支出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20101人大事务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2010101行政运行</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2010102一般行政管理事务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2010103机关服务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2010104人大会议</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2010105人大立法</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2010106人大监督</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20104发展与改革事务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2010499其他发展与改革事务支出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20108审计事务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2010801行政运行</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175.43</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20111纪检监察事务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2011105派驻派出机构</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20131党委办公厅（室）及相关机构事务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2013101行政运行</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2013102一般行政管理事务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2013103机关事务</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204公共安全支出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205教育支出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208社会保障和就业支出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22.04</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22.04</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210医疗卫生与计划生育支出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21011行政事业单位医疗</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2101101行政单位医疗</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4.35</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221住房保障支出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22102住房改革支出</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r>
        <w:tblPrEx>
          <w:tblLayout w:type="fixed"/>
          <w:tblCellMar>
            <w:top w:w="0" w:type="dxa"/>
            <w:left w:w="108" w:type="dxa"/>
            <w:bottom w:w="0" w:type="dxa"/>
            <w:right w:w="108" w:type="dxa"/>
          </w:tblCellMar>
        </w:tblPrEx>
        <w:trPr>
          <w:trHeight w:val="402" w:hRule="atLeast"/>
        </w:trPr>
        <w:tc>
          <w:tcPr>
            <w:tcW w:w="4380"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2210201住房公积金</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10.08</w:t>
            </w:r>
          </w:p>
        </w:tc>
        <w:tc>
          <w:tcPr>
            <w:tcW w:w="196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0.00</w:t>
            </w:r>
          </w:p>
        </w:tc>
      </w:tr>
    </w:tbl>
    <w:p>
      <w:pPr>
        <w:widowControl/>
        <w:rPr>
          <w:rFonts w:hint="eastAsia" w:ascii="方正小标宋简体" w:hAnsi="方正小标宋简体" w:eastAsia="方正小标宋简体" w:cs="方正小标宋简体"/>
          <w:sz w:val="28"/>
          <w:szCs w:val="28"/>
        </w:rPr>
      </w:pPr>
    </w:p>
    <w:p>
      <w:pPr>
        <w:widowControl/>
        <w:jc w:val="center"/>
        <w:rPr>
          <w:rFonts w:hint="eastAsia" w:ascii="宋体" w:hAnsi="宋体" w:eastAsia="宋体" w:cs="Arial"/>
          <w:b/>
          <w:bCs/>
          <w:color w:val="000000"/>
          <w:spacing w:val="-8"/>
          <w:kern w:val="0"/>
          <w:sz w:val="32"/>
          <w:szCs w:val="32"/>
        </w:rPr>
      </w:pPr>
      <w:r>
        <w:rPr>
          <w:rFonts w:hint="eastAsia" w:ascii="宋体" w:hAnsi="宋体" w:eastAsia="宋体" w:cs="Arial"/>
          <w:b/>
          <w:bCs/>
          <w:color w:val="000000"/>
          <w:spacing w:val="-8"/>
          <w:kern w:val="0"/>
          <w:sz w:val="32"/>
          <w:szCs w:val="32"/>
        </w:rPr>
        <w:t>六、一般公共预算基本支出情况表（按支出经济分类科目）</w:t>
      </w:r>
    </w:p>
    <w:p>
      <w:pPr>
        <w:widowControl/>
        <w:jc w:val="left"/>
        <w:rPr>
          <w:rFonts w:ascii="宋体" w:hAnsi="宋体" w:eastAsia="宋体" w:cs="Arial"/>
          <w:b/>
          <w:bCs/>
          <w:color w:val="000000"/>
          <w:spacing w:val="-8"/>
          <w:kern w:val="0"/>
          <w:sz w:val="36"/>
          <w:szCs w:val="36"/>
        </w:rPr>
      </w:pPr>
      <w:r>
        <w:rPr>
          <w:rFonts w:hint="eastAsia" w:ascii="宋体" w:hAnsi="宋体" w:eastAsia="宋体" w:cs="方正小标宋简体"/>
          <w:szCs w:val="21"/>
        </w:rPr>
        <w:t xml:space="preserve">单位名称：蕉岭县审计局 </w:t>
      </w:r>
      <w:r>
        <w:rPr>
          <w:rFonts w:hint="eastAsia" w:ascii="方正小标宋简体" w:hAnsi="方正小标宋简体" w:eastAsia="方正小标宋简体" w:cs="方正小标宋简体"/>
          <w:sz w:val="28"/>
          <w:szCs w:val="28"/>
        </w:rPr>
        <w:t xml:space="preserve">                                  </w:t>
      </w:r>
      <w:r>
        <w:rPr>
          <w:rFonts w:hint="eastAsia" w:ascii="宋体" w:hAnsi="宋体" w:eastAsia="宋体" w:cs="方正小标宋简体"/>
          <w:szCs w:val="21"/>
        </w:rPr>
        <w:t xml:space="preserve"> 单位：万元</w:t>
      </w:r>
    </w:p>
    <w:tbl>
      <w:tblPr>
        <w:tblStyle w:val="5"/>
        <w:tblW w:w="11280" w:type="dxa"/>
        <w:tblInd w:w="-1473" w:type="dxa"/>
        <w:tblLayout w:type="fixed"/>
        <w:tblCellMar>
          <w:top w:w="0" w:type="dxa"/>
          <w:left w:w="108" w:type="dxa"/>
          <w:bottom w:w="0" w:type="dxa"/>
          <w:right w:w="108" w:type="dxa"/>
        </w:tblCellMar>
      </w:tblPr>
      <w:tblGrid>
        <w:gridCol w:w="3460"/>
        <w:gridCol w:w="4600"/>
        <w:gridCol w:w="3220"/>
      </w:tblGrid>
      <w:tr>
        <w:tblPrEx>
          <w:tblLayout w:type="fixed"/>
          <w:tblCellMar>
            <w:top w:w="0" w:type="dxa"/>
            <w:left w:w="108" w:type="dxa"/>
            <w:bottom w:w="0" w:type="dxa"/>
            <w:right w:w="108" w:type="dxa"/>
          </w:tblCellMar>
        </w:tblPrEx>
        <w:trPr>
          <w:trHeight w:val="499" w:hRule="atLeast"/>
        </w:trPr>
        <w:tc>
          <w:tcPr>
            <w:tcW w:w="34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4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32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4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3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46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322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158.11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46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30101基本工资</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56.73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46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30102津贴补贴</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82.34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46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30103奖金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50101工资奖金津补贴</w:t>
            </w:r>
          </w:p>
        </w:tc>
        <w:tc>
          <w:tcPr>
            <w:tcW w:w="46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 xml:space="preserve">  30107绩效工资</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7.48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50102社会保障缴费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30112其他社会保障缴费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0.13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50103住房公积金</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10.08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1.35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13.36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13.36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30228工会经费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30229福利费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30240税金及附加费用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30227委托业务费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50207因公出国（境）费用</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30212因公出国（境）费用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3.50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3.50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301工资福利支出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30101基本工资</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30102津贴补贴</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30103奖金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30107绩效工资</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30113住房公积金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50501工作福利支出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505对事业单位经常性补助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50502商品和服务支出</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36.93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30304抚恤金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0.21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30305生活补助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4.35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30309奖励金</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30301离休费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50905离退休费</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30302退休费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23.77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4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8.60 </w:t>
            </w:r>
          </w:p>
        </w:tc>
      </w:tr>
    </w:tbl>
    <w:p>
      <w:pPr>
        <w:widowControl/>
        <w:jc w:val="left"/>
        <w:rPr>
          <w:rFonts w:hint="eastAsia" w:ascii="宋体" w:hAnsi="宋体" w:eastAsia="宋体" w:cs="方正小标宋简体"/>
          <w:sz w:val="28"/>
          <w:szCs w:val="28"/>
        </w:rPr>
      </w:pPr>
    </w:p>
    <w:p>
      <w:pPr>
        <w:widowControl/>
        <w:jc w:val="left"/>
        <w:rPr>
          <w:rFonts w:hint="eastAsia" w:ascii="宋体" w:hAnsi="宋体" w:eastAsia="宋体" w:cs="方正小标宋简体"/>
          <w:b/>
          <w:sz w:val="32"/>
          <w:szCs w:val="32"/>
        </w:rPr>
      </w:pPr>
      <w:r>
        <w:rPr>
          <w:rFonts w:hint="eastAsia" w:ascii="宋体" w:hAnsi="宋体" w:eastAsia="宋体" w:cs="方正小标宋简体"/>
          <w:b/>
          <w:sz w:val="32"/>
          <w:szCs w:val="32"/>
        </w:rPr>
        <w:t>七、一般公共预算项目支出情况表（按支出经济分类科目）</w:t>
      </w:r>
    </w:p>
    <w:p>
      <w:pPr>
        <w:widowControl/>
        <w:jc w:val="left"/>
        <w:rPr>
          <w:rFonts w:hint="eastAsia" w:ascii="方正小标宋简体" w:hAnsi="方正小标宋简体" w:eastAsia="方正小标宋简体" w:cs="方正小标宋简体"/>
          <w:sz w:val="28"/>
          <w:szCs w:val="28"/>
        </w:rPr>
      </w:pPr>
      <w:r>
        <w:rPr>
          <w:rFonts w:hint="eastAsia" w:ascii="宋体" w:hAnsi="宋体" w:eastAsia="宋体" w:cs="方正小标宋简体"/>
          <w:szCs w:val="21"/>
        </w:rPr>
        <w:t xml:space="preserve">单位名称：蕉岭县审计局 </w:t>
      </w:r>
      <w:r>
        <w:rPr>
          <w:rFonts w:hint="eastAsia" w:ascii="方正小标宋简体" w:hAnsi="方正小标宋简体" w:eastAsia="方正小标宋简体" w:cs="方正小标宋简体"/>
          <w:sz w:val="28"/>
          <w:szCs w:val="28"/>
        </w:rPr>
        <w:t xml:space="preserve">                                   </w:t>
      </w:r>
      <w:r>
        <w:rPr>
          <w:rFonts w:hint="eastAsia" w:ascii="宋体" w:hAnsi="宋体" w:eastAsia="宋体" w:cs="方正小标宋简体"/>
          <w:szCs w:val="21"/>
        </w:rPr>
        <w:t>单位：万元</w:t>
      </w:r>
    </w:p>
    <w:tbl>
      <w:tblPr>
        <w:tblStyle w:val="5"/>
        <w:tblW w:w="10200" w:type="dxa"/>
        <w:tblInd w:w="-937" w:type="dxa"/>
        <w:tblLayout w:type="fixed"/>
        <w:tblCellMar>
          <w:top w:w="0" w:type="dxa"/>
          <w:left w:w="108" w:type="dxa"/>
          <w:bottom w:w="0" w:type="dxa"/>
          <w:right w:w="108" w:type="dxa"/>
        </w:tblCellMar>
      </w:tblPr>
      <w:tblGrid>
        <w:gridCol w:w="3460"/>
        <w:gridCol w:w="3520"/>
        <w:gridCol w:w="3220"/>
      </w:tblGrid>
      <w:tr>
        <w:tblPrEx>
          <w:tblLayout w:type="fixed"/>
          <w:tblCellMar>
            <w:top w:w="0" w:type="dxa"/>
            <w:left w:w="108" w:type="dxa"/>
            <w:bottom w:w="0" w:type="dxa"/>
            <w:right w:w="108" w:type="dxa"/>
          </w:tblCellMar>
        </w:tblPrEx>
        <w:trPr>
          <w:trHeight w:val="499" w:hRule="atLeast"/>
        </w:trPr>
        <w:tc>
          <w:tcPr>
            <w:tcW w:w="34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政府预算支出经济分类</w:t>
            </w:r>
          </w:p>
        </w:tc>
        <w:tc>
          <w:tcPr>
            <w:tcW w:w="35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部门预算支出经济科目</w:t>
            </w:r>
          </w:p>
        </w:tc>
        <w:tc>
          <w:tcPr>
            <w:tcW w:w="32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c>
          <w:tcPr>
            <w:tcW w:w="3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2"/>
                <w:szCs w:val="22"/>
              </w:rPr>
            </w:pPr>
            <w:r>
              <w:rPr>
                <w:rFonts w:hint="eastAsia" w:ascii="宋体" w:hAnsi="宋体" w:eastAsia="宋体" w:cs="Arial"/>
                <w:kern w:val="0"/>
                <w:sz w:val="22"/>
                <w:szCs w:val="22"/>
              </w:rPr>
              <w:t>合    计</w:t>
            </w:r>
          </w:p>
        </w:tc>
        <w:tc>
          <w:tcPr>
            <w:tcW w:w="3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501机关工资福利支出</w:t>
            </w:r>
          </w:p>
        </w:tc>
        <w:tc>
          <w:tcPr>
            <w:tcW w:w="35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Arial"/>
                <w:color w:val="000000"/>
                <w:kern w:val="0"/>
                <w:sz w:val="22"/>
                <w:szCs w:val="22"/>
              </w:rPr>
            </w:pPr>
            <w:r>
              <w:rPr>
                <w:rFonts w:hint="eastAsia" w:ascii="宋体" w:hAnsi="宋体" w:eastAsia="宋体" w:cs="Arial"/>
                <w:color w:val="000000"/>
                <w:kern w:val="0"/>
                <w:sz w:val="22"/>
                <w:szCs w:val="22"/>
              </w:rPr>
              <w:t>301工资福利支出</w:t>
            </w:r>
          </w:p>
        </w:tc>
        <w:tc>
          <w:tcPr>
            <w:tcW w:w="322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30106伙食补助费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50199其他工资福利支出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30199其他工资福利支出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502机关商品和服务支出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302商品和服务支出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100.00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30201办公费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5.00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30202印刷费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30204手续费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0.10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30205水费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0.60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30206电费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1.61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30207邮电费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6.00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30209物业管理费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30211差旅费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2.40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30214租赁费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30228工会经费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2.29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30229福利费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30239其他交通费用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50201办公经费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30240税金及附加费用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6.80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50202会议费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30215会议费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50203培训费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30216培训费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30.00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30203咨询费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30226劳务费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12.00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50205委托业务费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30227委托业务费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50206公务接待费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30217公务接待费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50207因公出国（境）费用</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30212因公出国（境）费用</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50208公务用车运行维护费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30231公务用车运行维护费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50209维修（护）费</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30213维修（护）费</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12.00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50299其他商品和服务支出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30299其他商品和服务支出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8.00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503机关资本性支出（一）</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310资本性支出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50301房屋建筑物构建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31001房屋建筑物构建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50303公务用车购置</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31013公务用车购置</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31002办公设备购置</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31003专用设备购置</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50306设备购置</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31007信息网络及软件购置更新</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50307大型修缮</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31006大型修缮</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50399其他资本性支出</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31099其他资本性支出</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509对个人和家庭的补助</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303对个人和家庭的补助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50901社会福利和救助</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30307医疗费补助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r>
        <w:tblPrEx>
          <w:tblLayout w:type="fixed"/>
          <w:tblCellMar>
            <w:top w:w="0" w:type="dxa"/>
            <w:left w:w="108" w:type="dxa"/>
            <w:bottom w:w="0" w:type="dxa"/>
            <w:right w:w="108" w:type="dxa"/>
          </w:tblCellMar>
        </w:tblPrEx>
        <w:trPr>
          <w:trHeight w:val="499" w:hRule="atLeast"/>
        </w:trPr>
        <w:tc>
          <w:tcPr>
            <w:tcW w:w="346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50999其他队个人和家庭的补助</w:t>
            </w:r>
          </w:p>
        </w:tc>
        <w:tc>
          <w:tcPr>
            <w:tcW w:w="3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Arial"/>
                <w:kern w:val="0"/>
                <w:sz w:val="22"/>
                <w:szCs w:val="22"/>
              </w:rPr>
            </w:pPr>
            <w:r>
              <w:rPr>
                <w:rFonts w:hint="eastAsia" w:ascii="宋体" w:hAnsi="宋体" w:eastAsia="宋体" w:cs="Arial"/>
                <w:kern w:val="0"/>
                <w:sz w:val="22"/>
                <w:szCs w:val="22"/>
              </w:rPr>
              <w:t xml:space="preserve">  30399其他队个人和家庭的补助</w:t>
            </w:r>
          </w:p>
        </w:tc>
        <w:tc>
          <w:tcPr>
            <w:tcW w:w="3220" w:type="dxa"/>
            <w:tcBorders>
              <w:top w:val="nil"/>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0.00 </w:t>
            </w:r>
          </w:p>
        </w:tc>
      </w:tr>
    </w:tbl>
    <w:p>
      <w:pPr>
        <w:widowControl/>
        <w:jc w:val="left"/>
        <w:rPr>
          <w:rFonts w:ascii="方正小标宋简体" w:hAnsi="方正小标宋简体" w:eastAsia="方正小标宋简体" w:cs="方正小标宋简体"/>
          <w:sz w:val="44"/>
          <w:szCs w:val="44"/>
        </w:rPr>
      </w:pPr>
    </w:p>
    <w:p>
      <w:pPr>
        <w:widowControl/>
        <w:jc w:val="left"/>
        <w:rPr>
          <w:rFonts w:hint="eastAsia" w:ascii="方正小标宋简体" w:hAnsi="方正小标宋简体" w:eastAsia="方正小标宋简体" w:cs="方正小标宋简体"/>
          <w:sz w:val="44"/>
          <w:szCs w:val="44"/>
        </w:rPr>
      </w:pPr>
    </w:p>
    <w:p>
      <w:pPr>
        <w:widowControl/>
        <w:jc w:val="left"/>
        <w:rPr>
          <w:rFonts w:hint="eastAsia" w:ascii="方正小标宋简体" w:hAnsi="方正小标宋简体" w:eastAsia="方正小标宋简体" w:cs="方正小标宋简体"/>
          <w:sz w:val="44"/>
          <w:szCs w:val="44"/>
        </w:rPr>
      </w:pPr>
    </w:p>
    <w:tbl>
      <w:tblPr>
        <w:tblStyle w:val="5"/>
        <w:tblW w:w="10640" w:type="dxa"/>
        <w:tblInd w:w="-1155" w:type="dxa"/>
        <w:tblLayout w:type="fixed"/>
        <w:tblCellMar>
          <w:top w:w="0" w:type="dxa"/>
          <w:left w:w="108" w:type="dxa"/>
          <w:bottom w:w="0" w:type="dxa"/>
          <w:right w:w="108" w:type="dxa"/>
        </w:tblCellMar>
      </w:tblPr>
      <w:tblGrid>
        <w:gridCol w:w="8732"/>
        <w:gridCol w:w="1908"/>
      </w:tblGrid>
      <w:tr>
        <w:tblPrEx>
          <w:tblLayout w:type="fixed"/>
          <w:tblCellMar>
            <w:top w:w="0" w:type="dxa"/>
            <w:left w:w="108" w:type="dxa"/>
            <w:bottom w:w="0" w:type="dxa"/>
            <w:right w:w="108" w:type="dxa"/>
          </w:tblCellMar>
        </w:tblPrEx>
        <w:trPr>
          <w:trHeight w:val="499" w:hRule="atLeast"/>
        </w:trPr>
        <w:tc>
          <w:tcPr>
            <w:tcW w:w="10640" w:type="dxa"/>
            <w:gridSpan w:val="2"/>
            <w:tcBorders>
              <w:top w:val="nil"/>
              <w:left w:val="nil"/>
              <w:bottom w:val="nil"/>
              <w:right w:val="nil"/>
            </w:tcBorders>
            <w:shd w:val="clear" w:color="auto" w:fill="auto"/>
            <w:vAlign w:val="center"/>
          </w:tcPr>
          <w:p>
            <w:pPr>
              <w:widowControl/>
              <w:jc w:val="center"/>
              <w:rPr>
                <w:rFonts w:ascii="Arial" w:hAnsi="Arial" w:eastAsia="宋体" w:cs="Arial"/>
                <w:b/>
                <w:bCs/>
                <w:kern w:val="0"/>
                <w:sz w:val="32"/>
                <w:szCs w:val="32"/>
              </w:rPr>
            </w:pPr>
            <w:r>
              <w:rPr>
                <w:rFonts w:hint="eastAsia" w:ascii="宋体" w:hAnsi="宋体" w:eastAsia="宋体" w:cs="Arial"/>
                <w:b/>
                <w:bCs/>
                <w:kern w:val="0"/>
                <w:sz w:val="32"/>
                <w:szCs w:val="32"/>
              </w:rPr>
              <w:t>八、一般公共预算安排的行政经费及</w:t>
            </w:r>
            <w:r>
              <w:rPr>
                <w:rFonts w:ascii="Arial" w:hAnsi="Arial" w:eastAsia="宋体" w:cs="Arial"/>
                <w:b/>
                <w:bCs/>
                <w:kern w:val="0"/>
                <w:sz w:val="32"/>
                <w:szCs w:val="32"/>
              </w:rPr>
              <w:t>“</w:t>
            </w:r>
            <w:r>
              <w:rPr>
                <w:rFonts w:hint="eastAsia" w:ascii="宋体" w:hAnsi="宋体" w:eastAsia="宋体" w:cs="Arial"/>
                <w:b/>
                <w:bCs/>
                <w:kern w:val="0"/>
                <w:sz w:val="32"/>
                <w:szCs w:val="32"/>
              </w:rPr>
              <w:t>三公</w:t>
            </w:r>
            <w:r>
              <w:rPr>
                <w:rFonts w:ascii="Arial" w:hAnsi="Arial" w:eastAsia="宋体" w:cs="Arial"/>
                <w:b/>
                <w:bCs/>
                <w:kern w:val="0"/>
                <w:sz w:val="32"/>
                <w:szCs w:val="32"/>
              </w:rPr>
              <w:t>”</w:t>
            </w:r>
            <w:r>
              <w:rPr>
                <w:rFonts w:hint="eastAsia" w:ascii="宋体" w:hAnsi="宋体" w:eastAsia="宋体" w:cs="Arial"/>
                <w:b/>
                <w:bCs/>
                <w:kern w:val="0"/>
                <w:sz w:val="32"/>
                <w:szCs w:val="32"/>
              </w:rPr>
              <w:t>经费预算表</w:t>
            </w:r>
          </w:p>
        </w:tc>
      </w:tr>
      <w:tr>
        <w:tblPrEx>
          <w:tblLayout w:type="fixed"/>
          <w:tblCellMar>
            <w:top w:w="0" w:type="dxa"/>
            <w:left w:w="108" w:type="dxa"/>
            <w:bottom w:w="0" w:type="dxa"/>
            <w:right w:w="108" w:type="dxa"/>
          </w:tblCellMar>
        </w:tblPrEx>
        <w:trPr>
          <w:trHeight w:val="499" w:hRule="atLeast"/>
        </w:trPr>
        <w:tc>
          <w:tcPr>
            <w:tcW w:w="8732" w:type="dxa"/>
            <w:tcBorders>
              <w:top w:val="nil"/>
              <w:left w:val="nil"/>
              <w:bottom w:val="nil"/>
              <w:right w:val="nil"/>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单位名称：蕉岭县审计局</w:t>
            </w:r>
          </w:p>
        </w:tc>
        <w:tc>
          <w:tcPr>
            <w:tcW w:w="1908" w:type="dxa"/>
            <w:tcBorders>
              <w:top w:val="nil"/>
              <w:left w:val="nil"/>
              <w:bottom w:val="nil"/>
              <w:right w:val="nil"/>
            </w:tcBorders>
            <w:shd w:val="clear" w:color="auto" w:fill="auto"/>
            <w:vAlign w:val="center"/>
          </w:tcPr>
          <w:p>
            <w:pPr>
              <w:widowControl/>
              <w:jc w:val="right"/>
              <w:rPr>
                <w:rFonts w:ascii="宋体" w:hAnsi="宋体" w:eastAsia="宋体" w:cs="Arial"/>
                <w:kern w:val="0"/>
                <w:sz w:val="24"/>
              </w:rPr>
            </w:pPr>
            <w:r>
              <w:rPr>
                <w:rFonts w:hint="eastAsia" w:ascii="宋体" w:hAnsi="宋体" w:eastAsia="宋体" w:cs="Arial"/>
                <w:kern w:val="0"/>
                <w:sz w:val="24"/>
              </w:rPr>
              <w:t>单位：万元</w:t>
            </w:r>
          </w:p>
        </w:tc>
      </w:tr>
      <w:tr>
        <w:tblPrEx>
          <w:tblLayout w:type="fixed"/>
          <w:tblCellMar>
            <w:top w:w="0" w:type="dxa"/>
            <w:left w:w="108" w:type="dxa"/>
            <w:bottom w:w="0" w:type="dxa"/>
            <w:right w:w="108" w:type="dxa"/>
          </w:tblCellMar>
        </w:tblPrEx>
        <w:trPr>
          <w:trHeight w:val="499" w:hRule="atLeast"/>
        </w:trPr>
        <w:tc>
          <w:tcPr>
            <w:tcW w:w="87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Arial"/>
                <w:kern w:val="0"/>
                <w:sz w:val="24"/>
              </w:rPr>
            </w:pPr>
            <w:r>
              <w:rPr>
                <w:rFonts w:hint="eastAsia" w:ascii="宋体" w:hAnsi="宋体" w:eastAsia="宋体" w:cs="Arial"/>
                <w:kern w:val="0"/>
                <w:sz w:val="24"/>
              </w:rPr>
              <w:t>项    目</w:t>
            </w:r>
          </w:p>
        </w:tc>
        <w:tc>
          <w:tcPr>
            <w:tcW w:w="19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Arial" w:hAnsi="Arial" w:eastAsia="宋体" w:cs="Arial"/>
                <w:kern w:val="0"/>
                <w:sz w:val="24"/>
              </w:rPr>
            </w:pPr>
            <w:r>
              <w:rPr>
                <w:rFonts w:ascii="Arial" w:hAnsi="Arial" w:eastAsia="宋体" w:cs="Arial"/>
                <w:kern w:val="0"/>
                <w:sz w:val="24"/>
              </w:rPr>
              <w:t>2016</w:t>
            </w:r>
            <w:r>
              <w:rPr>
                <w:rFonts w:hint="eastAsia" w:ascii="宋体" w:hAnsi="宋体" w:eastAsia="宋体" w:cs="Arial"/>
                <w:kern w:val="0"/>
                <w:sz w:val="24"/>
              </w:rPr>
              <w:t>年预算</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行政经费</w:t>
            </w:r>
          </w:p>
        </w:tc>
        <w:tc>
          <w:tcPr>
            <w:tcW w:w="1908"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w:t>
            </w:r>
            <w:r>
              <w:rPr>
                <w:rFonts w:hint="eastAsia" w:ascii="宋体" w:hAnsi="宋体" w:eastAsia="宋体" w:cs="Arial"/>
                <w:kern w:val="0"/>
                <w:sz w:val="24"/>
              </w:rPr>
              <w:t>三公”经费</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7.8</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其中：（一）因公出国（境）支出</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0</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（二）公务用车购置及运行维护支出</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7</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1</w:t>
            </w:r>
            <w:r>
              <w:rPr>
                <w:rFonts w:hint="eastAsia" w:ascii="宋体" w:hAnsi="宋体" w:eastAsia="宋体" w:cs="Arial"/>
                <w:kern w:val="0"/>
                <w:sz w:val="24"/>
              </w:rPr>
              <w:t>、公务用车购置</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0</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xml:space="preserve">                              2</w:t>
            </w:r>
            <w:r>
              <w:rPr>
                <w:rFonts w:hint="eastAsia" w:ascii="宋体" w:hAnsi="宋体" w:eastAsia="宋体" w:cs="Arial"/>
                <w:kern w:val="0"/>
                <w:sz w:val="24"/>
              </w:rPr>
              <w:t>、公务用车运行维护费</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7</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Arial"/>
                <w:kern w:val="0"/>
                <w:sz w:val="24"/>
              </w:rPr>
            </w:pPr>
            <w:r>
              <w:rPr>
                <w:rFonts w:hint="eastAsia" w:ascii="宋体" w:hAnsi="宋体" w:eastAsia="宋体" w:cs="Arial"/>
                <w:kern w:val="0"/>
                <w:sz w:val="24"/>
              </w:rPr>
              <w:t xml:space="preserve">          （三）公务接待费支出</w:t>
            </w:r>
          </w:p>
        </w:tc>
        <w:tc>
          <w:tcPr>
            <w:tcW w:w="1908" w:type="dxa"/>
            <w:tcBorders>
              <w:top w:val="nil"/>
              <w:left w:val="nil"/>
              <w:bottom w:val="single" w:color="auto" w:sz="4" w:space="0"/>
              <w:right w:val="single" w:color="auto" w:sz="4" w:space="0"/>
            </w:tcBorders>
            <w:shd w:val="clear" w:color="auto" w:fill="auto"/>
            <w:vAlign w:val="center"/>
          </w:tcPr>
          <w:p>
            <w:pPr>
              <w:widowControl/>
              <w:jc w:val="right"/>
              <w:rPr>
                <w:rFonts w:ascii="Arial" w:hAnsi="Arial" w:eastAsia="宋体" w:cs="Arial"/>
                <w:kern w:val="0"/>
                <w:sz w:val="24"/>
              </w:rPr>
            </w:pPr>
            <w:r>
              <w:rPr>
                <w:rFonts w:ascii="Arial" w:hAnsi="Arial" w:eastAsia="宋体" w:cs="Arial"/>
                <w:kern w:val="0"/>
                <w:sz w:val="24"/>
              </w:rPr>
              <w:t>0.8</w:t>
            </w:r>
          </w:p>
        </w:tc>
      </w:tr>
      <w:tr>
        <w:tblPrEx>
          <w:tblLayout w:type="fixed"/>
          <w:tblCellMar>
            <w:top w:w="0" w:type="dxa"/>
            <w:left w:w="108" w:type="dxa"/>
            <w:bottom w:w="0" w:type="dxa"/>
            <w:right w:w="108" w:type="dxa"/>
          </w:tblCellMar>
        </w:tblPrEx>
        <w:trPr>
          <w:trHeight w:val="499" w:hRule="atLeast"/>
        </w:trPr>
        <w:tc>
          <w:tcPr>
            <w:tcW w:w="873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c>
          <w:tcPr>
            <w:tcW w:w="1908" w:type="dxa"/>
            <w:tcBorders>
              <w:top w:val="nil"/>
              <w:left w:val="nil"/>
              <w:bottom w:val="single" w:color="auto" w:sz="4" w:space="0"/>
              <w:right w:val="single" w:color="auto" w:sz="4" w:space="0"/>
            </w:tcBorders>
            <w:shd w:val="clear" w:color="auto" w:fill="auto"/>
            <w:vAlign w:val="center"/>
          </w:tcPr>
          <w:p>
            <w:pPr>
              <w:widowControl/>
              <w:jc w:val="left"/>
              <w:rPr>
                <w:rFonts w:ascii="Arial" w:hAnsi="Arial" w:eastAsia="宋体" w:cs="Arial"/>
                <w:kern w:val="0"/>
                <w:sz w:val="24"/>
              </w:rPr>
            </w:pPr>
            <w:r>
              <w:rPr>
                <w:rFonts w:ascii="Arial" w:hAnsi="Arial" w:eastAsia="宋体" w:cs="Arial"/>
                <w:kern w:val="0"/>
                <w:sz w:val="24"/>
              </w:rPr>
              <w:t>　</w:t>
            </w:r>
          </w:p>
        </w:tc>
      </w:tr>
      <w:tr>
        <w:tblPrEx>
          <w:tblLayout w:type="fixed"/>
          <w:tblCellMar>
            <w:top w:w="0" w:type="dxa"/>
            <w:left w:w="108" w:type="dxa"/>
            <w:bottom w:w="0" w:type="dxa"/>
            <w:right w:w="108" w:type="dxa"/>
          </w:tblCellMar>
        </w:tblPrEx>
        <w:trPr>
          <w:trHeight w:val="499" w:hRule="atLeast"/>
        </w:trPr>
        <w:tc>
          <w:tcPr>
            <w:tcW w:w="10640" w:type="dxa"/>
            <w:gridSpan w:val="2"/>
            <w:vMerge w:val="restart"/>
            <w:tcBorders>
              <w:top w:val="single" w:color="auto" w:sz="4" w:space="0"/>
              <w:left w:val="nil"/>
              <w:bottom w:val="nil"/>
              <w:right w:val="nil"/>
            </w:tcBorders>
            <w:shd w:val="clear" w:color="auto" w:fill="auto"/>
          </w:tcPr>
          <w:p>
            <w:pPr>
              <w:widowControl/>
              <w:jc w:val="left"/>
              <w:rPr>
                <w:rFonts w:ascii="宋体" w:hAnsi="宋体" w:eastAsia="宋体" w:cs="Arial"/>
                <w:kern w:val="0"/>
                <w:sz w:val="20"/>
                <w:szCs w:val="20"/>
              </w:rPr>
            </w:pPr>
            <w:r>
              <w:rPr>
                <w:rFonts w:hint="eastAsia" w:ascii="宋体" w:hAnsi="宋体" w:eastAsia="宋体" w:cs="Arial"/>
                <w:kern w:val="0"/>
                <w:sz w:val="20"/>
                <w:szCs w:val="20"/>
              </w:rPr>
              <w:t>注：</w:t>
            </w:r>
            <w:r>
              <w:rPr>
                <w:rFonts w:hint="eastAsia" w:ascii="宋体" w:hAnsi="宋体" w:eastAsia="宋体" w:cs="Arial"/>
                <w:kern w:val="0"/>
                <w:sz w:val="20"/>
                <w:szCs w:val="20"/>
              </w:rPr>
              <w:br w:type="textWrapping"/>
            </w:r>
            <w:r>
              <w:rPr>
                <w:rFonts w:hint="eastAsia" w:ascii="宋体" w:hAnsi="宋体" w:eastAsia="宋体" w:cs="Arial"/>
                <w:kern w:val="0"/>
                <w:sz w:val="20"/>
                <w:szCs w:val="20"/>
              </w:rP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Pr>
                <w:rFonts w:hint="eastAsia" w:ascii="宋体" w:hAnsi="宋体" w:eastAsia="宋体" w:cs="Arial"/>
                <w:kern w:val="0"/>
                <w:sz w:val="20"/>
                <w:szCs w:val="20"/>
              </w:rPr>
              <w:br w:type="textWrapping"/>
            </w:r>
            <w:r>
              <w:rPr>
                <w:rFonts w:hint="eastAsia" w:ascii="宋体" w:hAnsi="宋体" w:eastAsia="宋体" w:cs="Arial"/>
                <w:kern w:val="0"/>
                <w:sz w:val="20"/>
                <w:szCs w:val="20"/>
              </w:rPr>
              <w:br w:type="textWrapping"/>
            </w:r>
            <w:r>
              <w:rPr>
                <w:rFonts w:hint="eastAsia" w:ascii="宋体" w:hAnsi="宋体" w:eastAsia="宋体" w:cs="Arial"/>
                <w:kern w:val="0"/>
                <w:sz w:val="20"/>
                <w:szCs w:val="20"/>
              </w:rP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tblPrEx>
          <w:tblLayout w:type="fixed"/>
          <w:tblCellMar>
            <w:top w:w="0" w:type="dxa"/>
            <w:left w:w="108" w:type="dxa"/>
            <w:bottom w:w="0" w:type="dxa"/>
            <w:right w:w="108" w:type="dxa"/>
          </w:tblCellMar>
        </w:tblPrEx>
        <w:trPr>
          <w:trHeight w:val="499" w:hRule="atLeast"/>
        </w:trPr>
        <w:tc>
          <w:tcPr>
            <w:tcW w:w="1064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1064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1064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1064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499" w:hRule="atLeast"/>
        </w:trPr>
        <w:tc>
          <w:tcPr>
            <w:tcW w:w="10640" w:type="dxa"/>
            <w:gridSpan w:val="2"/>
            <w:vMerge w:val="continue"/>
            <w:tcBorders>
              <w:top w:val="single" w:color="auto" w:sz="4" w:space="0"/>
              <w:left w:val="nil"/>
              <w:bottom w:val="nil"/>
              <w:right w:val="nil"/>
            </w:tcBorders>
            <w:vAlign w:val="center"/>
          </w:tcPr>
          <w:p>
            <w:pPr>
              <w:widowControl/>
              <w:jc w:val="left"/>
              <w:rPr>
                <w:rFonts w:ascii="宋体" w:hAnsi="宋体" w:eastAsia="宋体" w:cs="Arial"/>
                <w:kern w:val="0"/>
                <w:sz w:val="20"/>
                <w:szCs w:val="20"/>
              </w:rPr>
            </w:pPr>
          </w:p>
        </w:tc>
      </w:tr>
    </w:tbl>
    <w:p>
      <w:pPr>
        <w:widowControl/>
        <w:jc w:val="left"/>
        <w:rPr>
          <w:rFonts w:hint="eastAsia" w:ascii="方正小标宋简体" w:hAnsi="方正小标宋简体" w:eastAsia="方正小标宋简体" w:cs="方正小标宋简体"/>
          <w:sz w:val="44"/>
          <w:szCs w:val="44"/>
        </w:rPr>
      </w:pPr>
    </w:p>
    <w:tbl>
      <w:tblPr>
        <w:tblStyle w:val="5"/>
        <w:tblW w:w="9819" w:type="dxa"/>
        <w:tblInd w:w="-468" w:type="dxa"/>
        <w:tblLayout w:type="fixed"/>
        <w:tblCellMar>
          <w:top w:w="0" w:type="dxa"/>
          <w:left w:w="108" w:type="dxa"/>
          <w:bottom w:w="0" w:type="dxa"/>
          <w:right w:w="108" w:type="dxa"/>
        </w:tblCellMar>
      </w:tblPr>
      <w:tblGrid>
        <w:gridCol w:w="2735"/>
        <w:gridCol w:w="2400"/>
        <w:gridCol w:w="2397"/>
        <w:gridCol w:w="2287"/>
      </w:tblGrid>
      <w:tr>
        <w:tblPrEx>
          <w:tblLayout w:type="fixed"/>
          <w:tblCellMar>
            <w:top w:w="0" w:type="dxa"/>
            <w:left w:w="108" w:type="dxa"/>
            <w:bottom w:w="0" w:type="dxa"/>
            <w:right w:w="108" w:type="dxa"/>
          </w:tblCellMar>
        </w:tblPrEx>
        <w:trPr>
          <w:trHeight w:val="428" w:hRule="atLeast"/>
        </w:trPr>
        <w:tc>
          <w:tcPr>
            <w:tcW w:w="9819" w:type="dxa"/>
            <w:gridSpan w:val="4"/>
            <w:tcBorders>
              <w:top w:val="nil"/>
              <w:left w:val="nil"/>
              <w:bottom w:val="nil"/>
              <w:right w:val="nil"/>
            </w:tcBorders>
            <w:shd w:val="clear" w:color="000000" w:fill="FFFFFF"/>
            <w:vAlign w:val="center"/>
          </w:tcPr>
          <w:p>
            <w:pPr>
              <w:widowControl/>
              <w:jc w:val="center"/>
              <w:rPr>
                <w:rFonts w:ascii="宋体" w:hAnsi="宋体" w:eastAsia="宋体" w:cs="Arial"/>
                <w:b/>
                <w:bCs/>
                <w:color w:val="000000"/>
                <w:kern w:val="0"/>
                <w:sz w:val="36"/>
                <w:szCs w:val="36"/>
              </w:rPr>
            </w:pPr>
            <w:r>
              <w:rPr>
                <w:rFonts w:hint="eastAsia" w:ascii="宋体" w:hAnsi="宋体" w:eastAsia="宋体" w:cs="Arial"/>
                <w:b/>
                <w:bCs/>
                <w:color w:val="000000"/>
                <w:kern w:val="0"/>
                <w:sz w:val="36"/>
                <w:szCs w:val="36"/>
              </w:rPr>
              <w:t>九、2016年政府性基金预算支出情况表</w:t>
            </w:r>
          </w:p>
        </w:tc>
      </w:tr>
      <w:tr>
        <w:tblPrEx>
          <w:tblLayout w:type="fixed"/>
          <w:tblCellMar>
            <w:top w:w="0" w:type="dxa"/>
            <w:left w:w="108" w:type="dxa"/>
            <w:bottom w:w="0" w:type="dxa"/>
            <w:right w:w="108" w:type="dxa"/>
          </w:tblCellMar>
        </w:tblPrEx>
        <w:trPr>
          <w:trHeight w:val="396" w:hRule="atLeast"/>
        </w:trPr>
        <w:tc>
          <w:tcPr>
            <w:tcW w:w="2735" w:type="dxa"/>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单位名称：蕉岭县审计局</w:t>
            </w:r>
          </w:p>
        </w:tc>
        <w:tc>
          <w:tcPr>
            <w:tcW w:w="2400"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397" w:type="dxa"/>
            <w:tcBorders>
              <w:top w:val="nil"/>
              <w:left w:val="nil"/>
              <w:bottom w:val="nil"/>
              <w:right w:val="nil"/>
            </w:tcBorders>
            <w:shd w:val="clear" w:color="auto" w:fill="auto"/>
            <w:vAlign w:val="bottom"/>
          </w:tcPr>
          <w:p>
            <w:pPr>
              <w:widowControl/>
              <w:jc w:val="left"/>
              <w:rPr>
                <w:rFonts w:ascii="Arial" w:hAnsi="Arial" w:eastAsia="宋体" w:cs="Arial"/>
                <w:kern w:val="0"/>
                <w:sz w:val="20"/>
                <w:szCs w:val="20"/>
              </w:rPr>
            </w:pPr>
          </w:p>
        </w:tc>
        <w:tc>
          <w:tcPr>
            <w:tcW w:w="2287" w:type="dxa"/>
            <w:tcBorders>
              <w:top w:val="nil"/>
              <w:left w:val="nil"/>
              <w:bottom w:val="nil"/>
              <w:right w:val="nil"/>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96" w:hRule="atLeast"/>
        </w:trPr>
        <w:tc>
          <w:tcPr>
            <w:tcW w:w="2735" w:type="dxa"/>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功能科目名称</w:t>
            </w:r>
          </w:p>
        </w:tc>
        <w:tc>
          <w:tcPr>
            <w:tcW w:w="7084" w:type="dxa"/>
            <w:gridSpan w:val="3"/>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政府性基金预算支出</w:t>
            </w:r>
          </w:p>
        </w:tc>
      </w:tr>
      <w:tr>
        <w:tblPrEx>
          <w:tblLayout w:type="fixed"/>
          <w:tblCellMar>
            <w:top w:w="0" w:type="dxa"/>
            <w:left w:w="108" w:type="dxa"/>
            <w:bottom w:w="0" w:type="dxa"/>
            <w:right w:w="108" w:type="dxa"/>
          </w:tblCellMar>
        </w:tblPrEx>
        <w:trPr>
          <w:trHeight w:val="396" w:hRule="atLeast"/>
        </w:trPr>
        <w:tc>
          <w:tcPr>
            <w:tcW w:w="27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0"/>
                <w:szCs w:val="20"/>
              </w:rPr>
            </w:pPr>
          </w:p>
        </w:tc>
        <w:tc>
          <w:tcPr>
            <w:tcW w:w="2400"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小计</w:t>
            </w:r>
          </w:p>
        </w:tc>
        <w:tc>
          <w:tcPr>
            <w:tcW w:w="2397"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其中：基本支出</w:t>
            </w:r>
          </w:p>
        </w:tc>
        <w:tc>
          <w:tcPr>
            <w:tcW w:w="2287" w:type="dxa"/>
            <w:tcBorders>
              <w:top w:val="nil"/>
              <w:left w:val="nil"/>
              <w:bottom w:val="nil"/>
              <w:right w:val="single" w:color="000000" w:sz="4" w:space="0"/>
            </w:tcBorders>
            <w:shd w:val="clear" w:color="000000" w:fill="FFFFFF"/>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项目支出</w:t>
            </w:r>
          </w:p>
        </w:tc>
      </w:tr>
      <w:tr>
        <w:tblPrEx>
          <w:tblLayout w:type="fixed"/>
          <w:tblCellMar>
            <w:top w:w="0" w:type="dxa"/>
            <w:left w:w="108" w:type="dxa"/>
            <w:bottom w:w="0" w:type="dxa"/>
            <w:right w:w="108" w:type="dxa"/>
          </w:tblCellMar>
        </w:tblPrEx>
        <w:trPr>
          <w:trHeight w:val="396" w:hRule="atLeast"/>
        </w:trPr>
        <w:tc>
          <w:tcPr>
            <w:tcW w:w="2735" w:type="dxa"/>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400"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397"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2287" w:type="dxa"/>
            <w:tcBorders>
              <w:top w:val="single" w:color="000000" w:sz="4" w:space="0"/>
              <w:left w:val="nil"/>
              <w:bottom w:val="single" w:color="000000" w:sz="4" w:space="0"/>
              <w:right w:val="single" w:color="000000" w:sz="4" w:space="0"/>
            </w:tcBorders>
            <w:shd w:val="clear" w:color="000000" w:fill="FFFFFF"/>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396" w:hRule="atLeast"/>
        </w:trPr>
        <w:tc>
          <w:tcPr>
            <w:tcW w:w="2735"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40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39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28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396" w:hRule="atLeast"/>
        </w:trPr>
        <w:tc>
          <w:tcPr>
            <w:tcW w:w="2735"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40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39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28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396" w:hRule="atLeast"/>
        </w:trPr>
        <w:tc>
          <w:tcPr>
            <w:tcW w:w="2735" w:type="dxa"/>
            <w:tcBorders>
              <w:top w:val="nil"/>
              <w:left w:val="single" w:color="000000" w:sz="4" w:space="0"/>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400"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39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287" w:type="dxa"/>
            <w:tcBorders>
              <w:top w:val="nil"/>
              <w:left w:val="nil"/>
              <w:bottom w:val="single" w:color="000000" w:sz="4" w:space="0"/>
              <w:right w:val="single" w:color="000000" w:sz="4" w:space="0"/>
            </w:tcBorders>
            <w:shd w:val="clear" w:color="auto" w:fill="auto"/>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r>
      <w:tr>
        <w:tblPrEx>
          <w:tblLayout w:type="fixed"/>
          <w:tblCellMar>
            <w:top w:w="0" w:type="dxa"/>
            <w:left w:w="108" w:type="dxa"/>
            <w:bottom w:w="0" w:type="dxa"/>
            <w:right w:w="108" w:type="dxa"/>
          </w:tblCellMar>
        </w:tblPrEx>
        <w:trPr>
          <w:trHeight w:val="396" w:hRule="atLeast"/>
        </w:trPr>
        <w:tc>
          <w:tcPr>
            <w:tcW w:w="9819" w:type="dxa"/>
            <w:gridSpan w:val="4"/>
            <w:tcBorders>
              <w:top w:val="single" w:color="000000" w:sz="4" w:space="0"/>
              <w:left w:val="nil"/>
              <w:bottom w:val="nil"/>
              <w:right w:val="nil"/>
            </w:tcBorders>
            <w:shd w:val="clear" w:color="auto" w:fill="auto"/>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注：如该部门无政府性基金安排的支出，则本表为空。同时按照财政部有关要求，以空表呈报人代会审议。</w:t>
            </w:r>
          </w:p>
        </w:tc>
      </w:tr>
    </w:tbl>
    <w:p>
      <w:pPr>
        <w:widowControl/>
        <w:jc w:val="center"/>
        <w:rPr>
          <w:rFonts w:hint="eastAsia" w:ascii="宋体" w:hAnsi="宋体" w:eastAsia="宋体" w:cs="方正小标宋简体"/>
          <w:b/>
          <w:sz w:val="32"/>
          <w:szCs w:val="32"/>
        </w:rPr>
      </w:pPr>
      <w:r>
        <w:rPr>
          <w:rFonts w:hint="eastAsia" w:ascii="宋体" w:hAnsi="宋体" w:eastAsia="宋体" w:cs="方正小标宋简体"/>
          <w:b/>
          <w:sz w:val="32"/>
          <w:szCs w:val="32"/>
        </w:rPr>
        <w:t>十、2016年部门预算基本支出预算表</w:t>
      </w:r>
    </w:p>
    <w:p>
      <w:pPr>
        <w:widowControl/>
        <w:jc w:val="left"/>
        <w:rPr>
          <w:rFonts w:hint="eastAsia" w:ascii="宋体" w:hAnsi="宋体" w:eastAsia="宋体" w:cs="方正小标宋简体"/>
          <w:szCs w:val="21"/>
        </w:rPr>
      </w:pPr>
      <w:r>
        <w:rPr>
          <w:rFonts w:hint="eastAsia" w:ascii="宋体" w:hAnsi="宋体" w:eastAsia="宋体" w:cs="方正小标宋简体"/>
          <w:szCs w:val="21"/>
        </w:rPr>
        <w:t>单位名称：蕉岭县审计局                                             单位：万元</w:t>
      </w:r>
    </w:p>
    <w:tbl>
      <w:tblPr>
        <w:tblStyle w:val="6"/>
        <w:tblW w:w="929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26"/>
        <w:gridCol w:w="1144"/>
        <w:gridCol w:w="1144"/>
        <w:gridCol w:w="1144"/>
        <w:gridCol w:w="1084"/>
        <w:gridCol w:w="1085"/>
        <w:gridCol w:w="1084"/>
        <w:gridCol w:w="10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支出项目类别（资金使用单位）</w:t>
            </w:r>
          </w:p>
        </w:tc>
        <w:tc>
          <w:tcPr>
            <w:tcW w:w="1144"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总计</w:t>
            </w:r>
          </w:p>
        </w:tc>
        <w:tc>
          <w:tcPr>
            <w:tcW w:w="4457" w:type="dxa"/>
            <w:gridSpan w:val="4"/>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财政拨款</w:t>
            </w:r>
          </w:p>
        </w:tc>
        <w:tc>
          <w:tcPr>
            <w:tcW w:w="1084"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财政专户拨款</w:t>
            </w:r>
          </w:p>
        </w:tc>
        <w:tc>
          <w:tcPr>
            <w:tcW w:w="1084"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其他资金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04" w:hRule="atLeast"/>
        </w:trPr>
        <w:tc>
          <w:tcPr>
            <w:tcW w:w="1526" w:type="dxa"/>
            <w:vMerge w:val="continue"/>
          </w:tcPr>
          <w:p>
            <w:pPr>
              <w:widowControl/>
              <w:jc w:val="left"/>
              <w:rPr>
                <w:rFonts w:ascii="方正小标宋简体" w:hAnsi="方正小标宋简体" w:eastAsia="方正小标宋简体" w:cs="方正小标宋简体"/>
                <w:sz w:val="24"/>
              </w:rPr>
            </w:pPr>
          </w:p>
        </w:tc>
        <w:tc>
          <w:tcPr>
            <w:tcW w:w="1144" w:type="dxa"/>
            <w:vMerge w:val="continue"/>
          </w:tcPr>
          <w:p>
            <w:pPr>
              <w:widowControl/>
              <w:jc w:val="left"/>
              <w:rPr>
                <w:rFonts w:ascii="方正小标宋简体" w:hAnsi="方正小标宋简体" w:eastAsia="方正小标宋简体" w:cs="方正小标宋简体"/>
                <w:sz w:val="24"/>
              </w:rPr>
            </w:pP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合计</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一般公共预算</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政府性基金预算</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国有资本经营预算</w:t>
            </w:r>
          </w:p>
        </w:tc>
        <w:tc>
          <w:tcPr>
            <w:tcW w:w="1084" w:type="dxa"/>
            <w:vMerge w:val="continue"/>
          </w:tcPr>
          <w:p>
            <w:pPr>
              <w:widowControl/>
              <w:jc w:val="left"/>
              <w:rPr>
                <w:rFonts w:ascii="方正小标宋简体" w:hAnsi="方正小标宋简体" w:eastAsia="方正小标宋简体" w:cs="方正小标宋简体"/>
                <w:sz w:val="24"/>
              </w:rPr>
            </w:pPr>
          </w:p>
        </w:tc>
        <w:tc>
          <w:tcPr>
            <w:tcW w:w="1084" w:type="dxa"/>
            <w:vMerge w:val="continue"/>
          </w:tcPr>
          <w:p>
            <w:pPr>
              <w:widowControl/>
              <w:jc w:val="left"/>
              <w:rPr>
                <w:rFonts w:ascii="方正小标宋简体" w:hAnsi="方正小标宋简体" w:eastAsia="方正小标宋简体" w:cs="方正小标宋简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蕉岭县审计局</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2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3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4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5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6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7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合计</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基本支出</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211.90</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工资福利支出</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158.11</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158.11</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158.11</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对个人和家庭的补助</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36.93</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36.93</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36.93</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公用经费</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9.60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9.60</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9.60</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公务交通补贴</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7.26</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7.26</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7.26</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05" w:hRule="atLeast"/>
        </w:trPr>
        <w:tc>
          <w:tcPr>
            <w:tcW w:w="1526"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14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5"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c>
          <w:tcPr>
            <w:tcW w:w="1084"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w:t>
            </w:r>
          </w:p>
        </w:tc>
      </w:tr>
    </w:tbl>
    <w:p>
      <w:pPr>
        <w:widowControl/>
        <w:jc w:val="left"/>
        <w:rPr>
          <w:rFonts w:hint="eastAsia" w:ascii="方正小标宋简体" w:hAnsi="方正小标宋简体" w:eastAsia="方正小标宋简体" w:cs="方正小标宋简体"/>
          <w:sz w:val="24"/>
        </w:rPr>
      </w:pPr>
    </w:p>
    <w:tbl>
      <w:tblPr>
        <w:tblStyle w:val="5"/>
        <w:tblW w:w="16080" w:type="dxa"/>
        <w:tblInd w:w="91" w:type="dxa"/>
        <w:tblLayout w:type="fixed"/>
        <w:tblCellMar>
          <w:top w:w="0" w:type="dxa"/>
          <w:left w:w="108" w:type="dxa"/>
          <w:bottom w:w="0" w:type="dxa"/>
          <w:right w:w="108" w:type="dxa"/>
        </w:tblCellMar>
      </w:tblPr>
      <w:tblGrid>
        <w:gridCol w:w="16080"/>
      </w:tblGrid>
      <w:tr>
        <w:tblPrEx>
          <w:tblLayout w:type="fixed"/>
          <w:tblCellMar>
            <w:top w:w="0" w:type="dxa"/>
            <w:left w:w="108" w:type="dxa"/>
            <w:bottom w:w="0" w:type="dxa"/>
            <w:right w:w="108" w:type="dxa"/>
          </w:tblCellMar>
        </w:tblPrEx>
        <w:trPr>
          <w:trHeight w:val="499" w:hRule="atLeast"/>
        </w:trPr>
        <w:tc>
          <w:tcPr>
            <w:tcW w:w="16080" w:type="dxa"/>
            <w:tcBorders>
              <w:top w:val="nil"/>
              <w:left w:val="nil"/>
              <w:bottom w:val="nil"/>
              <w:right w:val="nil"/>
            </w:tcBorders>
            <w:shd w:val="clear" w:color="auto" w:fill="auto"/>
            <w:vAlign w:val="center"/>
          </w:tcPr>
          <w:p>
            <w:pPr>
              <w:widowControl/>
              <w:ind w:firstLine="790" w:firstLineChars="246"/>
              <w:rPr>
                <w:rFonts w:hint="eastAsia" w:ascii="宋体" w:hAnsi="宋体" w:eastAsia="宋体" w:cs="Arial"/>
                <w:b/>
                <w:bCs/>
                <w:kern w:val="0"/>
                <w:sz w:val="32"/>
                <w:szCs w:val="32"/>
              </w:rPr>
            </w:pPr>
            <w:r>
              <w:rPr>
                <w:rFonts w:hint="eastAsia" w:ascii="宋体" w:hAnsi="宋体" w:eastAsia="宋体" w:cs="Arial"/>
                <w:b/>
                <w:bCs/>
                <w:kern w:val="0"/>
                <w:sz w:val="32"/>
                <w:szCs w:val="32"/>
              </w:rPr>
              <w:t>十一、2016年部门预算项目支出及其他支出预算表</w:t>
            </w:r>
          </w:p>
          <w:p>
            <w:pPr>
              <w:widowControl/>
              <w:jc w:val="left"/>
              <w:rPr>
                <w:rFonts w:ascii="宋体" w:hAnsi="宋体" w:eastAsia="宋体" w:cs="方正小标宋简体"/>
                <w:szCs w:val="21"/>
              </w:rPr>
            </w:pPr>
            <w:r>
              <w:rPr>
                <w:rFonts w:hint="eastAsia" w:ascii="宋体" w:hAnsi="宋体" w:eastAsia="宋体" w:cs="方正小标宋简体"/>
                <w:szCs w:val="21"/>
              </w:rPr>
              <w:t>单位名称：蕉岭县审计局                                             单位：万元</w:t>
            </w:r>
          </w:p>
        </w:tc>
      </w:tr>
    </w:tbl>
    <w:tbl>
      <w:tblPr>
        <w:tblStyle w:val="6"/>
        <w:tblW w:w="10034" w:type="dxa"/>
        <w:tblInd w:w="-17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1"/>
        <w:gridCol w:w="1059"/>
        <w:gridCol w:w="1059"/>
        <w:gridCol w:w="1059"/>
        <w:gridCol w:w="1059"/>
        <w:gridCol w:w="1060"/>
        <w:gridCol w:w="1059"/>
        <w:gridCol w:w="1059"/>
        <w:gridCol w:w="10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支出项目类别（资金使用单位）</w:t>
            </w:r>
          </w:p>
        </w:tc>
        <w:tc>
          <w:tcPr>
            <w:tcW w:w="1059"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总计</w:t>
            </w:r>
          </w:p>
        </w:tc>
        <w:tc>
          <w:tcPr>
            <w:tcW w:w="4237" w:type="dxa"/>
            <w:gridSpan w:val="4"/>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财政拨款</w:t>
            </w:r>
          </w:p>
        </w:tc>
        <w:tc>
          <w:tcPr>
            <w:tcW w:w="1059"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财政专户拨款</w:t>
            </w:r>
          </w:p>
        </w:tc>
        <w:tc>
          <w:tcPr>
            <w:tcW w:w="1059"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其他资金</w:t>
            </w:r>
          </w:p>
        </w:tc>
        <w:tc>
          <w:tcPr>
            <w:tcW w:w="1059" w:type="dxa"/>
            <w:vMerge w:val="restart"/>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绩效目标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40" w:hRule="atLeast"/>
        </w:trPr>
        <w:tc>
          <w:tcPr>
            <w:tcW w:w="1561" w:type="dxa"/>
            <w:vMerge w:val="continue"/>
          </w:tcPr>
          <w:p>
            <w:pPr>
              <w:widowControl/>
              <w:jc w:val="left"/>
              <w:rPr>
                <w:rFonts w:ascii="方正小标宋简体" w:hAnsi="方正小标宋简体" w:eastAsia="方正小标宋简体" w:cs="方正小标宋简体"/>
                <w:sz w:val="24"/>
              </w:rPr>
            </w:pPr>
          </w:p>
        </w:tc>
        <w:tc>
          <w:tcPr>
            <w:tcW w:w="1059" w:type="dxa"/>
            <w:vMerge w:val="continue"/>
          </w:tcPr>
          <w:p>
            <w:pPr>
              <w:widowControl/>
              <w:jc w:val="left"/>
              <w:rPr>
                <w:rFonts w:ascii="方正小标宋简体" w:hAnsi="方正小标宋简体" w:eastAsia="方正小标宋简体" w:cs="方正小标宋简体"/>
                <w:sz w:val="24"/>
              </w:rPr>
            </w:pP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合计</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一般公共预算</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政府性基金预算</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国有资本经营预算</w:t>
            </w:r>
          </w:p>
        </w:tc>
        <w:tc>
          <w:tcPr>
            <w:tcW w:w="1059" w:type="dxa"/>
            <w:vMerge w:val="continue"/>
          </w:tcPr>
          <w:p>
            <w:pPr>
              <w:widowControl/>
              <w:jc w:val="left"/>
              <w:rPr>
                <w:rFonts w:ascii="方正小标宋简体" w:hAnsi="方正小标宋简体" w:eastAsia="方正小标宋简体" w:cs="方正小标宋简体"/>
                <w:sz w:val="24"/>
              </w:rPr>
            </w:pPr>
          </w:p>
        </w:tc>
        <w:tc>
          <w:tcPr>
            <w:tcW w:w="1059" w:type="dxa"/>
            <w:vMerge w:val="continue"/>
          </w:tcPr>
          <w:p>
            <w:pPr>
              <w:widowControl/>
              <w:jc w:val="left"/>
              <w:rPr>
                <w:rFonts w:ascii="方正小标宋简体" w:hAnsi="方正小标宋简体" w:eastAsia="方正小标宋简体" w:cs="方正小标宋简体"/>
                <w:sz w:val="24"/>
              </w:rPr>
            </w:pPr>
          </w:p>
        </w:tc>
        <w:tc>
          <w:tcPr>
            <w:tcW w:w="1059" w:type="dxa"/>
            <w:vMerge w:val="continue"/>
          </w:tcPr>
          <w:p>
            <w:pPr>
              <w:widowControl/>
              <w:jc w:val="left"/>
              <w:rPr>
                <w:rFonts w:ascii="方正小标宋简体" w:hAnsi="方正小标宋简体" w:eastAsia="方正小标宋简体" w:cs="方正小标宋简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蕉岭县审计局</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2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3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4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5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6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7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8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合计</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项目支出</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运转性支出</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审计业务</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52.00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52.00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52.00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信息化建设</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10.00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62" w:hRule="atLeast"/>
        </w:trPr>
        <w:tc>
          <w:tcPr>
            <w:tcW w:w="1561"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 其他审计事务支出</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38.00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38.00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38.00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60"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c>
          <w:tcPr>
            <w:tcW w:w="1059" w:type="dxa"/>
          </w:tcPr>
          <w:p>
            <w:pPr>
              <w:widowControl/>
              <w:jc w:val="left"/>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4"/>
              </w:rPr>
              <w:t xml:space="preserve">0 </w:t>
            </w:r>
          </w:p>
        </w:tc>
      </w:tr>
    </w:tbl>
    <w:p>
      <w:pPr>
        <w:widowControl/>
        <w:jc w:val="left"/>
        <w:rPr>
          <w:rFonts w:ascii="方正小标宋简体" w:hAnsi="方正小标宋简体" w:eastAsia="方正小标宋简体" w:cs="方正小标宋简体"/>
          <w:sz w:val="2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2016年本部门收入预算311.90万元，比上年增加</w:t>
      </w:r>
      <w:r>
        <w:rPr>
          <w:rFonts w:hint="eastAsia" w:ascii="仿宋_GB2312" w:hAnsi="仿宋_GB2312" w:eastAsia="仿宋_GB2312" w:cs="仿宋_GB2312"/>
          <w:sz w:val="32"/>
          <w:szCs w:val="32"/>
          <w:lang w:val="en-US" w:eastAsia="zh-CN"/>
        </w:rPr>
        <w:t>61.43</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24.53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年度工资普调、人员经费等支出增加</w:t>
      </w:r>
      <w:r>
        <w:rPr>
          <w:rFonts w:hint="eastAsia" w:ascii="仿宋_GB2312" w:hAnsi="仿宋_GB2312" w:eastAsia="仿宋_GB2312" w:cs="仿宋_GB2312"/>
          <w:sz w:val="32"/>
          <w:szCs w:val="32"/>
        </w:rPr>
        <w:t>；支出预算311.90万元，比上年增加</w:t>
      </w:r>
      <w:r>
        <w:rPr>
          <w:rFonts w:hint="eastAsia" w:ascii="仿宋_GB2312" w:hAnsi="仿宋_GB2312" w:eastAsia="仿宋_GB2312" w:cs="仿宋_GB2312"/>
          <w:sz w:val="32"/>
          <w:szCs w:val="32"/>
          <w:lang w:val="en-US" w:eastAsia="zh-CN"/>
        </w:rPr>
        <w:t>61.43</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24.53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年度工资普调、人员经费等支出增加</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2016年本部门“三公”经费预算安排7.8万元，比上年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4.88</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严格执行“三公”经费规定要求，</w:t>
      </w:r>
      <w:r>
        <w:rPr>
          <w:rFonts w:hint="eastAsia" w:ascii="仿宋_GB2312" w:eastAsia="仿宋_GB2312"/>
          <w:sz w:val="32"/>
          <w:szCs w:val="32"/>
          <w:lang w:eastAsia="zh-CN"/>
        </w:rPr>
        <w:t>减少公务接待支出</w:t>
      </w:r>
      <w:r>
        <w:rPr>
          <w:rFonts w:hint="eastAsia" w:ascii="仿宋_GB2312" w:hAnsi="仿宋_GB2312" w:eastAsia="仿宋_GB2312" w:cs="仿宋_GB2312"/>
          <w:sz w:val="32"/>
          <w:szCs w:val="32"/>
        </w:rPr>
        <w:t>；公务用车购置及运行费7万元，与上年保持不变；公务接待费0.8万元，比上年减少</w:t>
      </w:r>
      <w:r>
        <w:rPr>
          <w:rFonts w:hint="eastAsia" w:ascii="仿宋_GB2312" w:hAnsi="仿宋_GB2312" w:eastAsia="仿宋_GB2312" w:cs="仿宋_GB2312"/>
          <w:sz w:val="32"/>
          <w:szCs w:val="32"/>
          <w:lang w:val="en-US" w:eastAsia="zh-CN"/>
        </w:rPr>
        <w:t>0.4</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33.33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严格执行“三公”经费规定要求，</w:t>
      </w:r>
      <w:r>
        <w:rPr>
          <w:rFonts w:hint="eastAsia" w:ascii="仿宋_GB2312" w:eastAsia="仿宋_GB2312"/>
          <w:sz w:val="32"/>
          <w:szCs w:val="32"/>
          <w:lang w:eastAsia="zh-CN"/>
        </w:rPr>
        <w:t>减少公务接待支出</w:t>
      </w:r>
      <w:r>
        <w:rPr>
          <w:rFonts w:hint="eastAsia" w:ascii="仿宋_GB2312" w:hAnsi="仿宋_GB2312" w:eastAsia="仿宋_GB2312" w:cs="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w:t>
      </w:r>
      <w:r>
        <w:rPr>
          <w:rFonts w:hint="eastAsia" w:ascii="仿宋_GB2312" w:hAnsi="仿宋_GB2312" w:eastAsia="仿宋_GB2312" w:cs="仿宋_GB2312"/>
          <w:sz w:val="32"/>
          <w:szCs w:val="32"/>
          <w:lang w:val="en-US" w:eastAsia="zh-CN"/>
        </w:rPr>
        <w:t>113.36</w:t>
      </w:r>
      <w:r>
        <w:rPr>
          <w:rFonts w:hint="eastAsia" w:ascii="仿宋_GB2312" w:hAnsi="仿宋_GB2312" w:eastAsia="仿宋_GB2312" w:cs="仿宋_GB2312"/>
          <w:sz w:val="32"/>
          <w:szCs w:val="32"/>
        </w:rPr>
        <w:t>万元，比上年减少</w:t>
      </w:r>
      <w:r>
        <w:rPr>
          <w:rFonts w:hint="eastAsia" w:ascii="仿宋_GB2312" w:hAnsi="仿宋_GB2312" w:eastAsia="仿宋_GB2312" w:cs="仿宋_GB2312"/>
          <w:sz w:val="32"/>
          <w:szCs w:val="32"/>
          <w:lang w:val="en-US" w:eastAsia="zh-CN"/>
        </w:rPr>
        <w:t>15.39</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11.95</w:t>
      </w:r>
      <w:r>
        <w:rPr>
          <w:rFonts w:hint="eastAsia" w:ascii="仿宋_GB2312" w:hAnsi="仿宋_GB2312" w:eastAsia="仿宋_GB2312" w:cs="仿宋_GB2312"/>
          <w:sz w:val="32"/>
          <w:szCs w:val="32"/>
        </w:rPr>
        <w:t>%，主要原因是精简办事流程，减少了人员办公费用。其中：办公费18.36万元，印刷费3万元，邮电费6万元，差旅费2.4万元，会议费0万元，福利费3万元，日常维修费12万元，专用材料及一般设备购置费0万元，办公用房水电费2.21万元，办公用房取暖费0万元，办公用房物业管理费0万元，公务用车运行维护费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万元，其中：货物类采购预算</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万元，工程类采购预算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万元，服务类采购预算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万元等。</w:t>
      </w:r>
      <w:bookmarkStart w:id="0" w:name="_GoBack"/>
      <w:bookmarkEnd w:id="0"/>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截至2015年12月31日，本部门占有使用国有资产总体情况为</w:t>
      </w:r>
      <w:r>
        <w:rPr>
          <w:rFonts w:hint="eastAsia" w:ascii="仿宋_GB2312" w:hAnsi="方正仿宋_GBK" w:eastAsia="仿宋_GB2312" w:cs="方正仿宋_GBK"/>
          <w:kern w:val="0"/>
          <w:sz w:val="32"/>
          <w:szCs w:val="32"/>
        </w:rPr>
        <w:t>蕉岭县审计局共有车辆2辆</w:t>
      </w:r>
      <w:r>
        <w:rPr>
          <w:rFonts w:hint="eastAsia" w:ascii="仿宋_GB2312" w:hAnsi="仿宋_GB2312" w:eastAsia="仿宋_GB2312" w:cs="仿宋_GB2312"/>
          <w:sz w:val="32"/>
          <w:szCs w:val="32"/>
        </w:rPr>
        <w:t>，分布构成情况为：</w:t>
      </w:r>
      <w:r>
        <w:rPr>
          <w:rFonts w:hint="eastAsia" w:ascii="仿宋_GB2312" w:hAnsi="方正仿宋_GBK" w:eastAsia="仿宋_GB2312" w:cs="方正仿宋_GBK"/>
          <w:kern w:val="0"/>
          <w:sz w:val="32"/>
          <w:szCs w:val="32"/>
          <w:lang w:eastAsia="zh-CN"/>
        </w:rPr>
        <w:t>一般公务用车</w:t>
      </w:r>
      <w:r>
        <w:rPr>
          <w:rFonts w:hint="eastAsia" w:ascii="仿宋_GB2312" w:hAnsi="方正仿宋_GBK" w:eastAsia="仿宋_GB2312" w:cs="方正仿宋_GBK"/>
          <w:kern w:val="0"/>
          <w:sz w:val="32"/>
          <w:szCs w:val="32"/>
          <w:lang w:val="en-US" w:eastAsia="zh-CN"/>
        </w:rPr>
        <w:t>1辆，执法用车1辆</w:t>
      </w:r>
      <w:r>
        <w:rPr>
          <w:rFonts w:hint="eastAsia" w:ascii="仿宋_GB2312" w:hAnsi="仿宋_GB2312" w:eastAsia="仿宋_GB2312" w:cs="仿宋_GB2312"/>
          <w:sz w:val="32"/>
          <w:szCs w:val="32"/>
        </w:rPr>
        <w:t>，主要实物资产数据情况为：</w:t>
      </w:r>
      <w:r>
        <w:rPr>
          <w:rFonts w:hint="eastAsia" w:ascii="仿宋_GB2312" w:hAnsi="方正仿宋_GBK" w:eastAsia="仿宋_GB2312" w:cs="方正仿宋_GBK"/>
          <w:kern w:val="0"/>
          <w:sz w:val="32"/>
          <w:szCs w:val="32"/>
          <w:lang w:eastAsia="zh-CN"/>
        </w:rPr>
        <w:t>一般公务用车</w:t>
      </w:r>
      <w:r>
        <w:rPr>
          <w:rFonts w:hint="eastAsia" w:ascii="仿宋_GB2312" w:hAnsi="方正仿宋_GBK" w:eastAsia="仿宋_GB2312" w:cs="方正仿宋_GBK"/>
          <w:kern w:val="0"/>
          <w:sz w:val="32"/>
          <w:szCs w:val="32"/>
          <w:lang w:val="en-US" w:eastAsia="zh-CN"/>
        </w:rPr>
        <w:t>1辆，执法用车1辆</w:t>
      </w:r>
      <w:r>
        <w:rPr>
          <w:rFonts w:hint="eastAsia" w:ascii="仿宋_GB2312" w:hAnsi="方正仿宋_GBK" w:eastAsia="仿宋_GB2312" w:cs="方正仿宋_GBK"/>
          <w:kern w:val="0"/>
          <w:sz w:val="32"/>
          <w:szCs w:val="32"/>
        </w:rPr>
        <w:t>，</w:t>
      </w:r>
      <w:r>
        <w:rPr>
          <w:rFonts w:hint="eastAsia" w:ascii="仿宋_GB2312" w:hAnsi="仿宋_GB2312" w:eastAsia="仿宋_GB2312" w:cs="仿宋_GB2312"/>
          <w:sz w:val="32"/>
          <w:szCs w:val="32"/>
        </w:rPr>
        <w:t>资产变动情况为：与上年持平。</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2016年，本部门推进预算绩效信息公开的有关工作情况：能够按要求及时公开。</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方正仿宋_GBK" w:eastAsia="仿宋_GB2312" w:cs="方正仿宋_GBK"/>
          <w:kern w:val="0"/>
          <w:sz w:val="32"/>
          <w:szCs w:val="32"/>
        </w:rPr>
        <w:t>一般公共预算拨款收入：指市财政当年拨付的资金。</w:t>
      </w:r>
    </w:p>
    <w:p>
      <w:pPr>
        <w:ind w:firstLine="640" w:firstLineChars="200"/>
        <w:jc w:val="left"/>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（二）</w:t>
      </w:r>
      <w:r>
        <w:rPr>
          <w:rFonts w:hint="eastAsia" w:ascii="仿宋_GB2312" w:hAnsi="方正仿宋_GBK" w:eastAsia="仿宋_GB2312" w:cs="方正仿宋_GBK"/>
          <w:kern w:val="0"/>
          <w:sz w:val="32"/>
          <w:szCs w:val="32"/>
        </w:rPr>
        <w:t>其他收入：指除上述</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财政拨款收入</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以外的收入。主 要是上级主管部门拨付的补助经费及存款利息收入等。</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（三）</w:t>
      </w:r>
      <w:r>
        <w:rPr>
          <w:rFonts w:hint="eastAsia" w:ascii="仿宋_GB2312" w:hAnsi="方正仿宋_GBK" w:eastAsia="仿宋_GB2312" w:cs="方正仿宋_GBK"/>
          <w:kern w:val="0"/>
          <w:sz w:val="32"/>
          <w:szCs w:val="32"/>
        </w:rPr>
        <w:t>一般公共服务（类）财政事务（款）行政运行（项）： 指市财政局行政单位及参照公务员法管理的事业单位（包括财政 局机关、市世界银行贷款业务办公室、市财政局国库支付中心、 市财务总监办公室、市财政局投资审核中心、市财政局票据监管中心、市政府</w:t>
      </w:r>
      <w:r>
        <w:rPr>
          <w:rFonts w:hint="eastAsia" w:ascii="仿宋_GB2312" w:hAnsi="方正仿宋_GBK" w:eastAsia="方正仿宋_GBK" w:cs="方正仿宋_GBK"/>
          <w:kern w:val="0"/>
          <w:sz w:val="32"/>
          <w:szCs w:val="32"/>
        </w:rPr>
        <w:t>釆</w:t>
      </w:r>
      <w:r>
        <w:rPr>
          <w:rFonts w:hint="eastAsia" w:ascii="仿宋_GB2312" w:hAnsi="方正仿宋_GBK" w:eastAsia="仿宋_GB2312" w:cs="方正仿宋_GBK"/>
          <w:kern w:val="0"/>
          <w:sz w:val="32"/>
          <w:szCs w:val="32"/>
        </w:rPr>
        <w:t>购管理办公室、市农村财务管理审计办公室）用 于保障机构正常运行、开展日常工作的基本支出。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（四）</w:t>
      </w:r>
      <w:r>
        <w:rPr>
          <w:rFonts w:hint="eastAsia" w:ascii="仿宋_GB2312" w:hAnsi="方正仿宋_GBK" w:eastAsia="仿宋_GB2312" w:cs="方正仿宋_GBK"/>
          <w:kern w:val="0"/>
          <w:sz w:val="32"/>
          <w:szCs w:val="32"/>
        </w:rPr>
        <w:t xml:space="preserve">一般公共服务（类）财政事务（款）一般行政管理事务 </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项）：指用于政府工程项目投资审核、市直单位重点项目委托第三方绩效评价、非税收入管理系统运行维护、统发工资系统运 行维护等财政项目管理工作的项目支出。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方正仿宋_GBK" w:eastAsia="仿宋_GB2312" w:cs="方正仿宋_GBK"/>
          <w:kern w:val="0"/>
          <w:sz w:val="32"/>
          <w:szCs w:val="32"/>
        </w:rPr>
        <w:t>一般公共服务（类）财政事务（款）机关服务（项）：指市财政信息中心、市财政局机关服务中心为保障机构正常运行、 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（六）</w:t>
      </w:r>
      <w:r>
        <w:rPr>
          <w:rFonts w:hint="eastAsia" w:ascii="仿宋_GB2312" w:hAnsi="方正仿宋_GBK" w:eastAsia="仿宋_GB2312" w:cs="方正仿宋_GBK"/>
          <w:kern w:val="0"/>
          <w:sz w:val="32"/>
          <w:szCs w:val="32"/>
        </w:rPr>
        <w:t>一般公共服务（类）财政事务（款）财政国库业务（项）： 指市财政局用于财政国库集中收付业务及国库支付中心系统运行维护方面的项目支出。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（七）</w:t>
      </w:r>
      <w:r>
        <w:rPr>
          <w:rFonts w:hint="eastAsia" w:ascii="仿宋_GB2312" w:hAnsi="方正仿宋_GBK" w:eastAsia="仿宋_GB2312" w:cs="方正仿宋_GBK"/>
          <w:kern w:val="0"/>
          <w:sz w:val="32"/>
          <w:szCs w:val="32"/>
        </w:rPr>
        <w:t>一般公共服务（类）财政事务（款）信息化建设（项）： 指市财政局用于金财工程等信息化建设方面的项目支出。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（八）</w:t>
      </w:r>
      <w:r>
        <w:rPr>
          <w:rFonts w:hint="eastAsia" w:ascii="仿宋_GB2312" w:hAnsi="方正仿宋_GBK" w:eastAsia="仿宋_GB2312" w:cs="方正仿宋_GBK"/>
          <w:kern w:val="0"/>
          <w:sz w:val="32"/>
          <w:szCs w:val="32"/>
        </w:rPr>
        <w:t>一般公共服务（类）财政事务（款）事业运行（项）： 指市资金管理所、市注册会计师协会办公室、广东省会计函授职业技术学校梅州辅导站用于保障机构正常运行、开展日常工作的基本支出。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（九）</w:t>
      </w:r>
      <w:r>
        <w:rPr>
          <w:rFonts w:hint="eastAsia" w:ascii="仿宋_GB2312" w:hAnsi="方正仿宋_GBK" w:eastAsia="仿宋_GB2312" w:cs="方正仿宋_GBK"/>
          <w:kern w:val="0"/>
          <w:sz w:val="32"/>
          <w:szCs w:val="32"/>
        </w:rPr>
        <w:t xml:space="preserve">一般公共服务（类）财政事务（款）其他财政事务支出 </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项）：指市财政局除上述项目外，开展其他财政事务方面专门</w:t>
      </w:r>
    </w:p>
    <w:p>
      <w:pPr>
        <w:autoSpaceDE w:val="0"/>
        <w:autoSpaceDN w:val="0"/>
        <w:adjustRightInd w:val="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性工作任务的项目支出。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w:t>
      </w:r>
      <w:r>
        <w:rPr>
          <w:rFonts w:hint="eastAsia" w:ascii="仿宋_GB2312" w:hAnsi="方正仿宋_GBK" w:eastAsia="仿宋_GB2312" w:cs="方正仿宋_GBK"/>
          <w:kern w:val="0"/>
          <w:sz w:val="32"/>
          <w:szCs w:val="32"/>
        </w:rPr>
        <w:t>社会保障和就业（类）行政事业单位离退休（款）归口管理的行政（事业）单位离退休（项）：指离退休人员经费的支出。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（十一）</w:t>
      </w:r>
      <w:r>
        <w:rPr>
          <w:rFonts w:hint="eastAsia" w:ascii="仿宋_GB2312" w:hAnsi="方正仿宋_GBK" w:eastAsia="仿宋_GB2312" w:cs="方正仿宋_GBK"/>
          <w:kern w:val="0"/>
          <w:sz w:val="32"/>
          <w:szCs w:val="32"/>
        </w:rPr>
        <w:t>住房保障（类）住房改革支出（款）住房公积金（项）： 指按照《住房公积金管理条例》的规定，由单位及其在职职工缴 存的长期住房储金。行政单位缴存基数包括国家统一规定的公务 员职务工资、级别工资、机关工人岗位工资和技术等级（职务）工资及规范后发放的工作性津贴、生活性补贴等；事业单位缴存 基数包括国家统一规定的岗位工资、薪级工资及特殊岗位津贴等。</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（十二）</w:t>
      </w:r>
      <w:r>
        <w:rPr>
          <w:rFonts w:hint="eastAsia" w:ascii="仿宋_GB2312" w:hAnsi="方正仿宋_GBK" w:eastAsia="仿宋_GB2312" w:cs="方正仿宋_GBK"/>
          <w:kern w:val="0"/>
          <w:sz w:val="32"/>
          <w:szCs w:val="32"/>
        </w:rPr>
        <w:t>基本支出：指为保障机构正常运转、完成日常工作任务 而发生的人员支出和公用支出。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（十三）</w:t>
      </w:r>
      <w:r>
        <w:rPr>
          <w:rFonts w:hint="eastAsia" w:ascii="仿宋_GB2312" w:hAnsi="方正仿宋_GBK" w:eastAsia="仿宋_GB2312" w:cs="方正仿宋_GBK"/>
          <w:kern w:val="0"/>
          <w:sz w:val="32"/>
          <w:szCs w:val="32"/>
        </w:rPr>
        <w:t>项目支出：指在基本支出之外为完成特定行政任务和事 业发展目标所发生的支出。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（十四）</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三公</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经费：纳入财政预决算管理的</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三公</w:t>
      </w:r>
      <w:r>
        <w:rPr>
          <w:rFonts w:hint="eastAsia" w:ascii="仿宋_GB2312" w:hAnsi="方正仿宋_GBK" w:eastAsia="仿宋_GB2312" w:cs="方正仿宋_GBK"/>
          <w:kern w:val="0"/>
          <w:sz w:val="32"/>
          <w:szCs w:val="32"/>
          <w:lang w:val="zh-TW"/>
        </w:rPr>
        <w:t>”</w:t>
      </w:r>
      <w:r>
        <w:rPr>
          <w:rFonts w:hint="eastAsia" w:ascii="仿宋_GB2312" w:hAnsi="方正仿宋_GBK" w:eastAsia="仿宋_GB2312" w:cs="方正仿宋_GBK"/>
          <w:kern w:val="0"/>
          <w:sz w:val="32"/>
          <w:szCs w:val="32"/>
        </w:rPr>
        <w:t>经费，是指用财政拨款安排因公出国（境）费、公务用车购置及运行费及公务接待费。其中，因公出国（境）费反映单位公务出国出境 的国际旅费、国外城市间交通费、住宿费、伙食费、培训费、公杂费等支出；公务用车购置及运行费反映单位公务用车车辆购置 支出（含车辆购置税）及租用费、燃料费、维修费、过路过桥费、保险费、安全奖励费用等支出；公务接待费反映单位按规定开支的各类公务接待支出。</w:t>
      </w:r>
    </w:p>
    <w:p>
      <w:pPr>
        <w:autoSpaceDE w:val="0"/>
        <w:autoSpaceDN w:val="0"/>
        <w:adjustRightInd w:val="0"/>
        <w:ind w:firstLine="640" w:firstLineChars="200"/>
        <w:rPr>
          <w:rFonts w:ascii="仿宋_GB2312" w:hAnsi="方正仿宋_GBK" w:eastAsia="仿宋_GB2312" w:cs="方正仿宋_GBK"/>
          <w:kern w:val="0"/>
          <w:sz w:val="32"/>
          <w:szCs w:val="32"/>
        </w:rPr>
      </w:pPr>
      <w:r>
        <w:rPr>
          <w:rFonts w:hint="eastAsia" w:ascii="仿宋_GB2312" w:hAnsi="仿宋_GB2312" w:eastAsia="仿宋_GB2312" w:cs="仿宋_GB2312"/>
          <w:sz w:val="32"/>
          <w:szCs w:val="32"/>
        </w:rPr>
        <w:t>（十五）</w:t>
      </w:r>
      <w:r>
        <w:rPr>
          <w:rFonts w:hint="eastAsia" w:ascii="仿宋_GB2312" w:hAnsi="方正仿宋_GBK" w:eastAsia="仿宋_GB2312" w:cs="方正仿宋_GBK"/>
          <w:kern w:val="0"/>
          <w:sz w:val="32"/>
          <w:szCs w:val="32"/>
        </w:rPr>
        <w:t>机关运行经费：为保障机构正常运行，用于购买货物和 服务的各项资金，主要包括办公费、印刷费、咨询费、水费、电费、邮电费、物业管理费、差旅费、因公出国（境）费、维修（护</w:t>
      </w:r>
      <w:r>
        <w:rPr>
          <w:rFonts w:hint="eastAsia" w:ascii="仿宋_GB2312" w:hAnsi="方正仿宋_GBK" w:eastAsia="仿宋_GB2312" w:cs="方正仿宋_GBK"/>
          <w:kern w:val="0"/>
          <w:sz w:val="32"/>
          <w:szCs w:val="32"/>
          <w:lang w:val="zh-TW"/>
        </w:rPr>
        <w:t xml:space="preserve">) </w:t>
      </w:r>
      <w:r>
        <w:rPr>
          <w:rFonts w:hint="eastAsia" w:ascii="仿宋_GB2312" w:hAnsi="方正仿宋_GBK" w:eastAsia="仿宋_GB2312" w:cs="方正仿宋_GBK"/>
          <w:kern w:val="0"/>
          <w:sz w:val="32"/>
          <w:szCs w:val="32"/>
        </w:rPr>
        <w:t>费、租赁费、会议费、培训费、公务接待费、劳务费、委托业务费、公务用车运行维护费、其他交通费用、其他商品和服务支出等。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86"/>
    <w:family w:val="auto"/>
    <w:pitch w:val="default"/>
    <w:sig w:usb0="00000000" w:usb1="00000000" w:usb2="00082016" w:usb3="00000000" w:csb0="00040001"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7FB0"/>
    <w:rsid w:val="002813DE"/>
    <w:rsid w:val="00292C01"/>
    <w:rsid w:val="00316019"/>
    <w:rsid w:val="0037491E"/>
    <w:rsid w:val="00527154"/>
    <w:rsid w:val="005443F3"/>
    <w:rsid w:val="005F503F"/>
    <w:rsid w:val="006E04F9"/>
    <w:rsid w:val="00797A5B"/>
    <w:rsid w:val="00810C41"/>
    <w:rsid w:val="00986602"/>
    <w:rsid w:val="00BF5C2C"/>
    <w:rsid w:val="00C53625"/>
    <w:rsid w:val="00CA65EF"/>
    <w:rsid w:val="00D916D3"/>
    <w:rsid w:val="00D91D1B"/>
    <w:rsid w:val="00DB2AEC"/>
    <w:rsid w:val="00FA499D"/>
    <w:rsid w:val="0354371A"/>
    <w:rsid w:val="081D07C1"/>
    <w:rsid w:val="16535944"/>
    <w:rsid w:val="16842B3E"/>
    <w:rsid w:val="16DE68C2"/>
    <w:rsid w:val="18A47CF4"/>
    <w:rsid w:val="1E425F68"/>
    <w:rsid w:val="21754241"/>
    <w:rsid w:val="218C568A"/>
    <w:rsid w:val="21AE6B7A"/>
    <w:rsid w:val="2503593A"/>
    <w:rsid w:val="265D7866"/>
    <w:rsid w:val="271A130E"/>
    <w:rsid w:val="2F300128"/>
    <w:rsid w:val="3DF118A4"/>
    <w:rsid w:val="430230A1"/>
    <w:rsid w:val="48B5559B"/>
    <w:rsid w:val="4E0C12FA"/>
    <w:rsid w:val="52666CE2"/>
    <w:rsid w:val="527D0F92"/>
    <w:rsid w:val="584B1351"/>
    <w:rsid w:val="5DDC35B9"/>
    <w:rsid w:val="5F560BF2"/>
    <w:rsid w:val="61D81956"/>
    <w:rsid w:val="658E0CA7"/>
    <w:rsid w:val="6BDB64A8"/>
    <w:rsid w:val="6D535020"/>
    <w:rsid w:val="73F04549"/>
    <w:rsid w:val="77A466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uiPriority w:val="0"/>
    <w:rPr>
      <w:kern w:val="2"/>
      <w:sz w:val="18"/>
      <w:szCs w:val="18"/>
    </w:rPr>
  </w:style>
  <w:style w:type="character" w:customStyle="1" w:styleId="8">
    <w:name w:val="页脚 Char"/>
    <w:basedOn w:val="4"/>
    <w:link w:val="2"/>
    <w:uiPriority w:val="0"/>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23</Pages>
  <Words>1758</Words>
  <Characters>10024</Characters>
  <Lines>83</Lines>
  <Paragraphs>23</Paragraphs>
  <TotalTime>0</TotalTime>
  <ScaleCrop>false</ScaleCrop>
  <LinksUpToDate>false</LinksUpToDate>
  <CharactersWithSpaces>11759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枫叶初飞</cp:lastModifiedBy>
  <dcterms:modified xsi:type="dcterms:W3CDTF">2018-04-11T03:53:05Z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