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Times New Roman"/>
          <w:sz w:val="84"/>
          <w:szCs w:val="84"/>
        </w:rPr>
      </w:pPr>
    </w:p>
    <w:p>
      <w:pPr>
        <w:jc w:val="center"/>
        <w:rPr>
          <w:rFonts w:hint="eastAsia" w:ascii="方正小标宋简体" w:hAnsi="方正小标宋简体" w:eastAsia="方正小标宋简体" w:cs="Times New Roman"/>
          <w:sz w:val="84"/>
          <w:szCs w:val="84"/>
        </w:rPr>
      </w:pPr>
    </w:p>
    <w:p>
      <w:pPr>
        <w:jc w:val="center"/>
        <w:rPr>
          <w:rFonts w:hint="eastAsia"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2016年</w:t>
      </w:r>
    </w:p>
    <w:p>
      <w:pPr>
        <w:jc w:val="center"/>
        <w:rPr>
          <w:rFonts w:hint="eastAsia"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蕉岭县少年宫</w:t>
      </w:r>
    </w:p>
    <w:p>
      <w:pPr>
        <w:jc w:val="center"/>
        <w:rPr>
          <w:rFonts w:hint="eastAsia" w:ascii="方正小标宋简体" w:hAnsi="方正小标宋简体" w:eastAsia="方正小标宋简体" w:cs="Times New Roman"/>
          <w:sz w:val="84"/>
          <w:szCs w:val="84"/>
        </w:rPr>
      </w:pPr>
      <w:r>
        <w:rPr>
          <w:rFonts w:hint="eastAsia" w:ascii="方正小标宋简体" w:hAnsi="方正小标宋简体" w:eastAsia="方正小标宋简体" w:cs="方正小标宋简体"/>
          <w:sz w:val="84"/>
          <w:szCs w:val="84"/>
        </w:rPr>
        <w:t>部门预算</w:t>
      </w:r>
    </w:p>
    <w:p>
      <w:pPr>
        <w:jc w:val="center"/>
        <w:rPr>
          <w:rFonts w:hint="eastAsia" w:ascii="方正小标宋简体" w:hAnsi="方正小标宋简体" w:eastAsia="方正小标宋简体" w:cs="Times New Roman"/>
          <w:sz w:val="84"/>
          <w:szCs w:val="84"/>
        </w:rPr>
      </w:pPr>
    </w:p>
    <w:p>
      <w:pPr>
        <w:jc w:val="center"/>
        <w:rPr>
          <w:rFonts w:hint="eastAsia" w:ascii="方正小标宋简体" w:hAnsi="方正小标宋简体" w:eastAsia="方正小标宋简体" w:cs="Times New Roman"/>
          <w:sz w:val="84"/>
          <w:szCs w:val="84"/>
        </w:rPr>
      </w:pPr>
    </w:p>
    <w:p>
      <w:pPr>
        <w:jc w:val="center"/>
        <w:rPr>
          <w:rFonts w:hint="eastAsia" w:ascii="黑体" w:hAnsi="黑体" w:eastAsia="黑体" w:cs="Times New Roman"/>
          <w:sz w:val="44"/>
          <w:szCs w:val="44"/>
        </w:rPr>
      </w:pPr>
      <w:r>
        <w:rPr>
          <w:rFonts w:hint="eastAsia" w:ascii="方正小标宋简体" w:hAnsi="方正小标宋简体" w:eastAsia="方正小标宋简体" w:cs="Times New Roman"/>
          <w:sz w:val="84"/>
          <w:szCs w:val="84"/>
        </w:rPr>
        <w:br w:type="page"/>
      </w:r>
    </w:p>
    <w:p>
      <w:pPr>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目 录</w:t>
      </w:r>
    </w:p>
    <w:p>
      <w:pPr>
        <w:jc w:val="center"/>
        <w:rPr>
          <w:rFonts w:hint="eastAsia" w:ascii="黑体" w:hAnsi="黑体" w:eastAsia="黑体" w:cs="Times New Roman"/>
          <w:sz w:val="44"/>
          <w:szCs w:val="44"/>
        </w:rPr>
      </w:pPr>
    </w:p>
    <w:p>
      <w:pPr>
        <w:ind w:firstLine="640" w:firstLineChars="200"/>
        <w:rPr>
          <w:rFonts w:hint="eastAsia" w:ascii="黑体" w:hAnsi="黑体" w:eastAsia="黑体" w:cs="Times New Roman"/>
          <w:sz w:val="32"/>
          <w:szCs w:val="32"/>
        </w:rPr>
      </w:pPr>
      <w:r>
        <w:rPr>
          <w:rFonts w:hint="eastAsia" w:ascii="黑体" w:hAnsi="黑体" w:eastAsia="黑体" w:cs="黑体"/>
          <w:sz w:val="32"/>
          <w:szCs w:val="32"/>
        </w:rPr>
        <w:t>第一部分  蕉岭县少年宫概况</w:t>
      </w:r>
    </w:p>
    <w:p>
      <w:pPr>
        <w:numPr>
          <w:ilvl w:val="0"/>
          <w:numId w:val="1"/>
        </w:numPr>
        <w:ind w:firstLine="640" w:firstLineChars="20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机构设置</w:t>
      </w:r>
    </w:p>
    <w:p>
      <w:pPr>
        <w:ind w:firstLine="640" w:firstLineChars="200"/>
        <w:rPr>
          <w:rFonts w:hint="eastAsia" w:ascii="黑体" w:hAnsi="黑体" w:eastAsia="黑体" w:cs="Times New Roman"/>
          <w:sz w:val="32"/>
          <w:szCs w:val="32"/>
        </w:rPr>
      </w:pPr>
      <w:r>
        <w:rPr>
          <w:rFonts w:hint="eastAsia" w:ascii="黑体" w:hAnsi="黑体" w:eastAsia="黑体" w:cs="黑体"/>
          <w:sz w:val="32"/>
          <w:szCs w:val="32"/>
        </w:rPr>
        <w:t>第二部分  2016年部门预算表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hint="eastAsia" w:ascii="黑体" w:hAnsi="黑体" w:eastAsia="黑体" w:cs="Times New Roman"/>
          <w:sz w:val="32"/>
          <w:szCs w:val="32"/>
        </w:rPr>
      </w:pPr>
      <w:r>
        <w:rPr>
          <w:rFonts w:hint="eastAsia" w:ascii="黑体" w:hAnsi="黑体" w:eastAsia="黑体" w:cs="黑体"/>
          <w:sz w:val="32"/>
          <w:szCs w:val="32"/>
        </w:rPr>
        <w:t>第三部分  2016年部门预算情况说明</w:t>
      </w:r>
    </w:p>
    <w:p>
      <w:pPr>
        <w:ind w:firstLine="640" w:firstLineChars="200"/>
        <w:rPr>
          <w:rFonts w:hint="eastAsia" w:ascii="黑体" w:hAnsi="黑体" w:eastAsia="黑体" w:cs="Times New Roman"/>
          <w:sz w:val="32"/>
          <w:szCs w:val="32"/>
        </w:rPr>
      </w:pPr>
      <w:r>
        <w:rPr>
          <w:rFonts w:hint="eastAsia" w:ascii="黑体" w:hAnsi="黑体" w:eastAsia="黑体" w:cs="黑体"/>
          <w:sz w:val="32"/>
          <w:szCs w:val="32"/>
        </w:rPr>
        <w:t>第四部分  名词解释</w:t>
      </w:r>
    </w:p>
    <w:p>
      <w:pPr>
        <w:ind w:firstLine="640" w:firstLineChars="200"/>
        <w:rPr>
          <w:rFonts w:hint="eastAsia" w:ascii="黑体" w:hAnsi="黑体" w:eastAsia="黑体" w:cs="Times New Roman"/>
          <w:sz w:val="32"/>
          <w:szCs w:val="32"/>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hint="eastAsia" w:cs="Times New Roman" w:asciiTheme="majorEastAsia" w:hAnsiTheme="majorEastAsia" w:eastAsiaTheme="majorEastAsia"/>
          <w:b/>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黑体" w:hAnsi="黑体" w:eastAsia="黑体" w:cs="黑体"/>
          <w:sz w:val="48"/>
          <w:szCs w:val="48"/>
        </w:rPr>
        <w:t>蕉岭县少年宫</w:t>
      </w:r>
      <w:r>
        <w:rPr>
          <w:rFonts w:hint="eastAsia" w:cs="方正小标宋简体" w:asciiTheme="majorEastAsia" w:hAnsiTheme="majorEastAsia" w:eastAsiaTheme="majorEastAsia"/>
          <w:b/>
          <w:sz w:val="48"/>
          <w:szCs w:val="48"/>
        </w:rPr>
        <w:t>概况</w:t>
      </w:r>
    </w:p>
    <w:p>
      <w:pPr>
        <w:rPr>
          <w:rFonts w:hint="eastAsia" w:ascii="黑体" w:hAnsi="黑体" w:eastAsia="黑体" w:cs="Times New Roman"/>
          <w:sz w:val="44"/>
          <w:szCs w:val="44"/>
        </w:rPr>
      </w:pPr>
    </w:p>
    <w:p>
      <w:pPr>
        <w:numPr>
          <w:ilvl w:val="0"/>
          <w:numId w:val="3"/>
        </w:numPr>
        <w:ind w:firstLine="640"/>
        <w:rPr>
          <w:rFonts w:hint="eastAsia" w:ascii="仿宋_GB2312" w:eastAsia="仿宋_GB2312" w:cs="Times New Roman"/>
          <w:b/>
          <w:bCs/>
          <w:sz w:val="32"/>
          <w:szCs w:val="32"/>
        </w:rPr>
      </w:pPr>
      <w:r>
        <w:rPr>
          <w:rFonts w:hint="eastAsia" w:ascii="黑体" w:hAnsi="黑体" w:eastAsia="黑体" w:cs="黑体"/>
          <w:sz w:val="32"/>
          <w:szCs w:val="32"/>
        </w:rPr>
        <w:t>主要职责</w:t>
      </w:r>
    </w:p>
    <w:p>
      <w:pPr>
        <w:ind w:firstLine="640" w:firstLineChars="200"/>
        <w:rPr>
          <w:rFonts w:hint="eastAsia" w:ascii="仿宋_GB2312" w:eastAsia="仿宋_GB2312" w:cs="Times New Roman"/>
          <w:b/>
          <w:bCs/>
          <w:sz w:val="32"/>
          <w:szCs w:val="32"/>
        </w:rPr>
      </w:pPr>
      <w:r>
        <w:rPr>
          <w:rFonts w:hint="eastAsia" w:ascii="仿宋_GB2312" w:eastAsia="仿宋_GB2312" w:cs="仿宋_GB2312"/>
          <w:sz w:val="32"/>
          <w:szCs w:val="32"/>
        </w:rPr>
        <w:t>蕉岭县</w:t>
      </w:r>
      <w:r>
        <w:rPr>
          <w:rFonts w:hint="eastAsia" w:ascii="仿宋_GB2312" w:hAnsi="黑体" w:eastAsia="仿宋_GB2312" w:cs="黑体"/>
          <w:sz w:val="32"/>
          <w:szCs w:val="32"/>
        </w:rPr>
        <w:t>少年宫</w:t>
      </w:r>
      <w:r>
        <w:rPr>
          <w:rFonts w:hint="eastAsia" w:ascii="仿宋_GB2312" w:hAnsi="仿宋_GB2312" w:eastAsia="仿宋_GB2312" w:cs="仿宋_GB2312"/>
          <w:sz w:val="32"/>
          <w:szCs w:val="32"/>
        </w:rPr>
        <w:t>是由蕉岭县教育局管理的事业单位，主要职能：</w:t>
      </w:r>
      <w:r>
        <w:rPr>
          <w:rFonts w:hint="eastAsia" w:ascii="仿宋_GB2312" w:hAnsi="宋体" w:eastAsia="仿宋_GB2312" w:cs="Arial"/>
          <w:color w:val="2B2B2B"/>
          <w:sz w:val="30"/>
          <w:szCs w:val="30"/>
          <w:shd w:val="clear" w:color="auto" w:fill="F6FCFF"/>
        </w:rPr>
        <w:t>服务于一体的综合性、多功能、现代化的未成年人校外教育专门活动场所</w:t>
      </w:r>
      <w:r>
        <w:rPr>
          <w:rFonts w:hint="eastAsia" w:ascii="仿宋_GB2312" w:hAnsi="仿宋_GB2312" w:eastAsia="仿宋_GB2312" w:cs="仿宋_GB2312"/>
          <w:sz w:val="32"/>
          <w:szCs w:val="32"/>
        </w:rPr>
        <w:t>。</w:t>
      </w:r>
    </w:p>
    <w:p>
      <w:pPr>
        <w:rPr>
          <w:rFonts w:hint="eastAsia" w:ascii="仿宋_GB2312" w:hAnsi="仿宋_GB2312" w:eastAsia="仿宋_GB2312" w:cs="Times New Roman"/>
          <w:sz w:val="32"/>
          <w:szCs w:val="32"/>
        </w:rPr>
      </w:pPr>
    </w:p>
    <w:p>
      <w:pPr>
        <w:rPr>
          <w:rFonts w:hint="eastAsia" w:ascii="黑体" w:hAnsi="黑体" w:eastAsia="黑体" w:cs="Times New Roman"/>
          <w:sz w:val="32"/>
          <w:szCs w:val="32"/>
        </w:rPr>
      </w:pPr>
      <w:r>
        <w:rPr>
          <w:rFonts w:hint="eastAsia" w:ascii="黑体" w:hAnsi="黑体" w:eastAsia="黑体" w:cs="黑体"/>
          <w:sz w:val="32"/>
          <w:szCs w:val="32"/>
        </w:rPr>
        <w:t xml:space="preserve">    二、机构设置</w:t>
      </w:r>
    </w:p>
    <w:p>
      <w:pPr>
        <w:ind w:firstLine="640" w:firstLineChars="200"/>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（一）本部门预算无下属单位，部门预算为本级预算。</w:t>
      </w:r>
    </w:p>
    <w:p>
      <w:pPr>
        <w:spacing w:line="288" w:lineRule="auto"/>
        <w:ind w:firstLine="640" w:firstLineChars="200"/>
        <w:rPr>
          <w:rFonts w:hint="eastAsia" w:ascii="仿宋_GB2312" w:eastAsia="仿宋_GB2312" w:cs="Times New Roman"/>
          <w:sz w:val="32"/>
          <w:szCs w:val="32"/>
        </w:rPr>
      </w:pPr>
      <w:r>
        <w:rPr>
          <w:rFonts w:hint="eastAsia" w:ascii="仿宋_GB2312" w:hAnsi="仿宋_GB2312" w:eastAsia="仿宋_GB2312" w:cs="仿宋_GB2312"/>
          <w:sz w:val="32"/>
          <w:szCs w:val="32"/>
        </w:rPr>
        <w:t>（二）本部门内设机构：</w:t>
      </w:r>
      <w:r>
        <w:rPr>
          <w:rFonts w:hint="eastAsia" w:ascii="仿宋_GB2312" w:eastAsia="仿宋_GB2312" w:cs="仿宋_GB2312"/>
          <w:sz w:val="32"/>
          <w:szCs w:val="32"/>
        </w:rPr>
        <w:t>根据蕉委发[2007]7号文件精神，少年宫</w:t>
      </w:r>
      <w:r>
        <w:rPr>
          <w:rFonts w:hint="eastAsia" w:ascii="仿宋_GB2312" w:hAnsi="仿宋_GB2312" w:eastAsia="仿宋_GB2312" w:cs="仿宋_GB2312"/>
          <w:sz w:val="32"/>
          <w:szCs w:val="32"/>
        </w:rPr>
        <w:t>为一级预算单位，无所属二级预算单位，内设有培训部、宣传保卫部、主任室、后勤管理部。各部门互相协调，为教育教学服务。</w:t>
      </w:r>
    </w:p>
    <w:p>
      <w:pPr>
        <w:spacing w:line="288" w:lineRule="auto"/>
        <w:ind w:firstLine="640" w:firstLineChars="200"/>
        <w:rPr>
          <w:rFonts w:hint="eastAsia" w:ascii="宋体" w:hAnsi="宋体" w:cs="宋体"/>
          <w:sz w:val="30"/>
          <w:szCs w:val="30"/>
        </w:rPr>
      </w:pPr>
      <w:r>
        <w:rPr>
          <w:rFonts w:hint="eastAsia" w:ascii="仿宋_GB2312" w:hAnsi="仿宋_GB2312" w:eastAsia="仿宋_GB2312" w:cs="仿宋_GB2312"/>
          <w:sz w:val="32"/>
          <w:szCs w:val="32"/>
        </w:rPr>
        <w:t>人员构成情况：</w:t>
      </w:r>
      <w:r>
        <w:rPr>
          <w:rFonts w:hint="eastAsia" w:ascii="仿宋_GB2312" w:hAnsi="黑体" w:eastAsia="仿宋_GB2312" w:cs="黑体"/>
          <w:sz w:val="32"/>
          <w:szCs w:val="32"/>
        </w:rPr>
        <w:t>少年宫</w:t>
      </w:r>
      <w:r>
        <w:rPr>
          <w:rFonts w:hint="eastAsia" w:ascii="宋体" w:hAnsi="宋体" w:cs="宋体"/>
          <w:sz w:val="30"/>
          <w:szCs w:val="30"/>
        </w:rPr>
        <w:t>共有编制11人，实有在职人员11人、退休人员4人。</w:t>
      </w:r>
    </w:p>
    <w:p>
      <w:pPr>
        <w:spacing w:line="288" w:lineRule="auto"/>
        <w:ind w:firstLine="640" w:firstLineChars="200"/>
        <w:rPr>
          <w:rFonts w:hint="eastAsia" w:ascii="仿宋_GB2312" w:eastAsia="仿宋_GB2312" w:cs="Times New Roman"/>
          <w:sz w:val="32"/>
          <w:szCs w:val="32"/>
        </w:rPr>
      </w:pPr>
    </w:p>
    <w:p>
      <w:pPr>
        <w:widowControl/>
        <w:jc w:val="left"/>
        <w:rPr>
          <w:rFonts w:ascii="黑体" w:hAnsi="黑体" w:eastAsia="黑体" w:cs="Times New Roman"/>
          <w:sz w:val="44"/>
          <w:szCs w:val="44"/>
        </w:rPr>
        <w:sectPr>
          <w:footerReference r:id="rId3" w:type="default"/>
          <w:pgSz w:w="11906" w:h="16838"/>
          <w:pgMar w:top="1440" w:right="1466" w:bottom="1440" w:left="1800" w:header="851" w:footer="992" w:gutter="0"/>
          <w:cols w:space="720" w:num="1"/>
          <w:docGrid w:type="lines" w:linePitch="312" w:charSpace="0"/>
        </w:sectPr>
      </w:pPr>
    </w:p>
    <w:p>
      <w:pPr>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第二部分  2016年部门预算表（详见2016年部门预算公开表）</w:t>
      </w:r>
    </w:p>
    <w:p>
      <w:pPr>
        <w:rPr>
          <w:rFonts w:hint="eastAsia" w:cs="Times New Roman"/>
        </w:rPr>
      </w:pPr>
    </w:p>
    <w:p>
      <w:pPr>
        <w:rPr>
          <w:rFonts w:cs="Times New Roman"/>
        </w:rPr>
      </w:pPr>
    </w:p>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cs="Times New Roman"/>
        </w:rPr>
      </w:pPr>
      <w:bookmarkStart w:id="0" w:name="_GoBack"/>
      <w:bookmarkEnd w:id="0"/>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Times New Roman"/>
          <w:sz w:val="32"/>
          <w:szCs w:val="32"/>
        </w:rPr>
      </w:pPr>
      <w:r>
        <w:rPr>
          <w:rFonts w:hint="eastAsia" w:ascii="黑体" w:hAnsi="黑体" w:eastAsia="黑体" w:cs="黑体"/>
          <w:sz w:val="32"/>
          <w:szCs w:val="32"/>
        </w:rPr>
        <w:t>部门预算收支增减变化情况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120.014</w:t>
      </w:r>
      <w:r>
        <w:rPr>
          <w:rFonts w:hint="eastAsia" w:ascii="仿宋_GB2312" w:hAnsi="仿宋_GB2312" w:eastAsia="仿宋_GB2312" w:cs="仿宋_GB2312"/>
          <w:sz w:val="32"/>
          <w:szCs w:val="32"/>
        </w:rPr>
        <w:t>万元，比上年减少197.04万元，降低24%，主要原因是财政拨款收入和事业收入减少；支出预算</w:t>
      </w:r>
      <w:r>
        <w:rPr>
          <w:rFonts w:hint="eastAsia" w:ascii="宋体" w:hAnsi="宋体"/>
          <w:sz w:val="32"/>
          <w:szCs w:val="32"/>
        </w:rPr>
        <w:t>120.014</w:t>
      </w:r>
      <w:r>
        <w:rPr>
          <w:rFonts w:hint="eastAsia" w:ascii="仿宋_GB2312" w:hAnsi="仿宋_GB2312" w:eastAsia="仿宋_GB2312" w:cs="仿宋_GB2312"/>
          <w:sz w:val="32"/>
          <w:szCs w:val="32"/>
        </w:rPr>
        <w:t>万元，比上年减少197.04万元，降低24%，主要原因是财政拨款收入和事业收入减少。</w:t>
      </w:r>
    </w:p>
    <w:p>
      <w:pPr>
        <w:ind w:firstLine="640" w:firstLineChars="200"/>
        <w:rPr>
          <w:rFonts w:hint="eastAsia" w:ascii="黑体" w:hAnsi="黑体" w:eastAsia="黑体" w:cs="Times New Roman"/>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2016年本部门“三公”经费预算安排0万元，与上年保持不变。其中：因公出国（境）费0万元，与上年保持不变；公务用车购置及运行费0万元，与上年保持不变；公务接待费0万元，与上年保持不变。</w:t>
      </w:r>
    </w:p>
    <w:p>
      <w:pPr>
        <w:ind w:firstLine="640"/>
        <w:rPr>
          <w:rFonts w:hint="eastAsia" w:ascii="黑体" w:hAnsi="黑体" w:eastAsia="黑体" w:cs="Times New Roman"/>
          <w:sz w:val="32"/>
          <w:szCs w:val="32"/>
        </w:rPr>
      </w:pPr>
      <w:r>
        <w:rPr>
          <w:rFonts w:hint="eastAsia" w:ascii="仿宋_GB2312" w:hAnsi="仿宋_GB2312" w:eastAsia="仿宋_GB2312" w:cs="仿宋_GB2312"/>
          <w:b/>
          <w:bCs/>
          <w:sz w:val="32"/>
          <w:szCs w:val="32"/>
          <w:lang w:eastAsia="zh-CN"/>
        </w:rPr>
        <w:t>三、</w:t>
      </w:r>
      <w:r>
        <w:rPr>
          <w:rFonts w:hint="eastAsia" w:ascii="黑体" w:hAnsi="黑体" w:eastAsia="黑体" w:cs="黑体"/>
          <w:sz w:val="32"/>
          <w:szCs w:val="32"/>
        </w:rPr>
        <w:t>机关运行经费安排情况</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机关运行经费安排0万元，其中：办公费0，印刷费0，邮电费0，差旅费0，会议费0，福利费0，日常维修费0，专用材料及一般设备购置费0，办公用房水电费0，办公用房取暖费0，办公用房物业管理费0，公务用车运行维护费0等。</w:t>
      </w:r>
    </w:p>
    <w:p>
      <w:pPr>
        <w:ind w:firstLine="640"/>
        <w:rPr>
          <w:rFonts w:hint="eastAsia" w:ascii="黑体" w:hAnsi="黑体" w:eastAsia="黑体" w:cs="Times New Roman"/>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rPr>
          <w:rFonts w:hint="eastAsia" w:ascii="仿宋_GB2312" w:hAnsi="仿宋_GB2312" w:eastAsia="仿宋_GB2312" w:cs="Times New Roman"/>
          <w:sz w:val="32"/>
          <w:szCs w:val="32"/>
        </w:rPr>
      </w:pPr>
      <w:r>
        <w:rPr>
          <w:rFonts w:hint="eastAsia" w:ascii="仿宋_GB2312" w:hAnsi="仿宋_GB2312" w:eastAsia="仿宋_GB2312" w:cs="仿宋_GB2312"/>
          <w:sz w:val="32"/>
          <w:szCs w:val="32"/>
        </w:rPr>
        <w:t xml:space="preserve">    2016年本部门政府采购安排0万元，其中：货物类采购预算0万元，工程类采购预算0万元，服务类采购预算0万元等。</w:t>
      </w:r>
    </w:p>
    <w:p>
      <w:pPr>
        <w:numPr>
          <w:ilvl w:val="0"/>
          <w:numId w:val="0"/>
        </w:numPr>
        <w:ind w:firstLine="640" w:firstLineChars="200"/>
        <w:rPr>
          <w:rFonts w:hint="eastAsia" w:ascii="黑体" w:hAnsi="黑体" w:eastAsia="黑体" w:cs="Times New Roman"/>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spacing w:line="580" w:lineRule="exact"/>
        <w:ind w:firstLine="640" w:firstLineChars="200"/>
        <w:rPr>
          <w:rFonts w:hint="eastAsia" w:ascii="仿宋_GB2312" w:eastAsia="仿宋_GB2312" w:cs="Times New Roman"/>
          <w:b/>
          <w:bCs/>
          <w:sz w:val="32"/>
          <w:szCs w:val="32"/>
        </w:rPr>
      </w:pPr>
      <w:r>
        <w:rPr>
          <w:rFonts w:hint="eastAsia" w:ascii="仿宋_GB2312" w:eastAsia="仿宋_GB2312" w:cs="仿宋_GB2312"/>
          <w:sz w:val="32"/>
          <w:szCs w:val="32"/>
        </w:rPr>
        <w:t>截至2016年12月31日，本部门共有车辆0辆</w:t>
      </w:r>
      <w:r>
        <w:rPr>
          <w:rFonts w:hint="eastAsia" w:ascii="仿宋_GB2312" w:eastAsia="仿宋_GB2312" w:cs="仿宋_GB2312"/>
          <w:b/>
          <w:bCs/>
          <w:sz w:val="32"/>
          <w:szCs w:val="32"/>
        </w:rPr>
        <w:t>；</w:t>
      </w:r>
      <w:r>
        <w:rPr>
          <w:rFonts w:hint="eastAsia" w:ascii="仿宋_GB2312" w:hAnsi="宋体" w:eastAsia="仿宋_GB2312" w:cs="仿宋_GB2312"/>
          <w:b/>
          <w:bCs/>
          <w:kern w:val="0"/>
          <w:sz w:val="32"/>
          <w:szCs w:val="32"/>
        </w:rPr>
        <w:t>单位价值50万元以上通用设备0台（套），单价100万元以上专用设备0台（套）。</w:t>
      </w:r>
    </w:p>
    <w:p>
      <w:pPr>
        <w:numPr>
          <w:ilvl w:val="0"/>
          <w:numId w:val="0"/>
        </w:numPr>
        <w:ind w:firstLine="640" w:firstLineChars="200"/>
        <w:rPr>
          <w:rFonts w:hint="eastAsia" w:ascii="黑体" w:hAnsi="黑体" w:eastAsia="黑体" w:cs="Times New Roman"/>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ind w:firstLine="640"/>
        <w:rPr>
          <w:rFonts w:hint="eastAsia" w:ascii="方正小标宋简体" w:hAnsi="方正小标宋简体" w:eastAsia="方正小标宋简体" w:cs="Times New Roman"/>
          <w:sz w:val="44"/>
          <w:szCs w:val="44"/>
        </w:rPr>
      </w:pPr>
      <w:r>
        <w:rPr>
          <w:rFonts w:hint="eastAsia" w:ascii="仿宋_GB2312" w:hAnsi="仿宋_GB2312" w:eastAsia="仿宋_GB2312" w:cs="仿宋_GB2312"/>
          <w:sz w:val="32"/>
          <w:szCs w:val="32"/>
        </w:rPr>
        <w:t>2016年，本部门积极按照要求推进相关预算绩效信息公开。</w:t>
      </w: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Times New Roman"/>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jc w:val="center"/>
        <w:rPr>
          <w:rFonts w:hint="eastAsia" w:ascii="方正小标宋简体" w:hAnsi="方正小标宋简体" w:eastAsia="方正小标宋简体" w:cs="Times New Roman"/>
          <w:sz w:val="44"/>
          <w:szCs w:val="44"/>
        </w:rPr>
      </w:pPr>
      <w:r>
        <w:rPr>
          <w:rFonts w:hint="eastAsia" w:ascii="方正小标宋简体" w:hAnsi="方正小标宋简体" w:eastAsia="方正小标宋简体" w:cs="方正小标宋简体"/>
          <w:sz w:val="44"/>
          <w:szCs w:val="44"/>
        </w:rPr>
        <w:t>第四部分  名词解释</w:t>
      </w:r>
    </w:p>
    <w:p>
      <w:pPr>
        <w:spacing w:line="288" w:lineRule="auto"/>
        <w:ind w:firstLine="627" w:firstLineChars="196"/>
        <w:rPr>
          <w:rFonts w:hint="eastAsia" w:ascii="仿宋_GB2312" w:eastAsia="仿宋_GB2312" w:cs="Times New Roman"/>
          <w:b/>
          <w:bCs/>
          <w:sz w:val="32"/>
          <w:szCs w:val="32"/>
        </w:rPr>
      </w:pPr>
      <w:r>
        <w:rPr>
          <w:rFonts w:hint="eastAsia" w:ascii="仿宋_GB2312" w:eastAsia="仿宋_GB2312" w:cs="仿宋_GB2312"/>
          <w:sz w:val="32"/>
          <w:szCs w:val="32"/>
        </w:rPr>
        <w:t>为便于社会公众的理解，各部门需对公开内容中涉及的专业名词进行解释，</w:t>
      </w:r>
    </w:p>
    <w:p>
      <w:pPr>
        <w:numPr>
          <w:ilvl w:val="0"/>
          <w:numId w:val="5"/>
        </w:numPr>
        <w:spacing w:line="288" w:lineRule="auto"/>
        <w:ind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财政拨款收入：</w:t>
      </w:r>
      <w:r>
        <w:rPr>
          <w:rFonts w:hint="eastAsia" w:ascii="仿宋_GB2312" w:eastAsia="仿宋_GB2312" w:cs="仿宋_GB2312"/>
          <w:sz w:val="32"/>
          <w:szCs w:val="32"/>
        </w:rPr>
        <w:t>指财政当年拨付的资金事业收入。</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二、事业收入：</w:t>
      </w:r>
      <w:r>
        <w:rPr>
          <w:rFonts w:hint="eastAsia" w:ascii="仿宋_GB2312" w:eastAsia="仿宋_GB2312" w:cs="仿宋_GB2312"/>
          <w:sz w:val="32"/>
          <w:szCs w:val="32"/>
        </w:rPr>
        <w:t>指事业单位开展专业业务活动及辅动所取得的收入。</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三、经营收入：</w:t>
      </w:r>
      <w:r>
        <w:rPr>
          <w:rFonts w:hint="eastAsia" w:ascii="仿宋_GB2312" w:eastAsia="仿宋_GB2312" w:cs="仿宋_GB2312"/>
          <w:sz w:val="32"/>
          <w:szCs w:val="32"/>
        </w:rPr>
        <w:t>指事业单位在专业业务活动及其辅助活动之外开展非独立核算经营活动取得的收入。</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四、其他收入：</w:t>
      </w:r>
      <w:r>
        <w:rPr>
          <w:rFonts w:hint="eastAsia" w:ascii="仿宋_GB2312" w:eastAsia="仿宋_GB2312" w:cs="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五、用事业基金弥补收支差额：</w:t>
      </w:r>
      <w:r>
        <w:rPr>
          <w:rFonts w:hint="eastAsia" w:ascii="仿宋_GB2312" w:eastAsia="仿宋_GB2312" w:cs="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六、基本支出：</w:t>
      </w:r>
      <w:r>
        <w:rPr>
          <w:rFonts w:hint="eastAsia" w:ascii="仿宋_GB2312" w:eastAsia="仿宋_GB2312" w:cs="仿宋_GB2312"/>
          <w:sz w:val="32"/>
          <w:szCs w:val="32"/>
        </w:rPr>
        <w:t>指为保障机构正常运转、完成日常工作任务面发生的人员支出和公用支出。</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七、项目支出：</w:t>
      </w:r>
      <w:r>
        <w:rPr>
          <w:rFonts w:hint="eastAsia" w:ascii="仿宋_GB2312" w:eastAsia="仿宋_GB2312" w:cs="仿宋_GB2312"/>
          <w:sz w:val="32"/>
          <w:szCs w:val="32"/>
        </w:rPr>
        <w:t>指在基本支出这外为完成特定行政任务和事业发展目标所发生的支出。</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八、经营支出：</w:t>
      </w:r>
      <w:r>
        <w:rPr>
          <w:rFonts w:hint="eastAsia" w:ascii="仿宋_GB2312" w:eastAsia="仿宋_GB2312" w:cs="仿宋_GB2312"/>
          <w:sz w:val="32"/>
          <w:szCs w:val="32"/>
        </w:rPr>
        <w:t>指事业单位在专业业务活动及其辅助活动之外开展非独立核算经营活动所发生的支出。</w:t>
      </w:r>
    </w:p>
    <w:p>
      <w:pPr>
        <w:spacing w:line="288" w:lineRule="auto"/>
        <w:ind w:left="1" w:firstLine="630" w:firstLineChars="196"/>
        <w:rPr>
          <w:rFonts w:hint="eastAsia" w:ascii="仿宋_GB2312" w:hAnsi="宋体" w:eastAsia="仿宋_GB2312" w:cs="Times New Roman"/>
          <w:kern w:val="0"/>
          <w:sz w:val="32"/>
          <w:szCs w:val="32"/>
        </w:rPr>
      </w:pPr>
      <w:r>
        <w:rPr>
          <w:rFonts w:hint="eastAsia" w:ascii="仿宋_GB2312" w:eastAsia="仿宋_GB2312" w:cs="仿宋_GB2312"/>
          <w:b/>
          <w:bCs/>
          <w:sz w:val="32"/>
          <w:szCs w:val="32"/>
        </w:rPr>
        <w:t>九、“三公”经费：</w:t>
      </w:r>
      <w:r>
        <w:rPr>
          <w:rFonts w:hint="eastAsia" w:ascii="仿宋_GB2312" w:hAnsi="宋体" w:eastAsia="仿宋_GB2312" w:cs="仿宋_GB2312"/>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hint="eastAsia" w:ascii="仿宋_GB2312" w:eastAsia="仿宋_GB2312" w:cs="Times New Roman"/>
          <w:sz w:val="32"/>
          <w:szCs w:val="32"/>
        </w:rPr>
      </w:pPr>
      <w:r>
        <w:rPr>
          <w:rFonts w:hint="eastAsia" w:ascii="仿宋_GB2312" w:eastAsia="仿宋_GB2312" w:cs="仿宋_GB2312"/>
          <w:b/>
          <w:bCs/>
          <w:sz w:val="32"/>
          <w:szCs w:val="32"/>
        </w:rPr>
        <w:t>十、机关运行经费：</w:t>
      </w:r>
      <w:r>
        <w:rPr>
          <w:rFonts w:hint="eastAsia" w:ascii="仿宋_GB2312" w:eastAsia="仿宋_GB2312" w:cs="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ind w:firstLine="420" w:firstLineChars="200"/>
        <w:jc w:val="left"/>
        <w:rPr>
          <w:rFonts w:hint="eastAsia" w:cs="Times New Roma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0000677"/>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pPr>
        <w:ind w:left="0" w:firstLine="0"/>
      </w:pPr>
    </w:lvl>
  </w:abstractNum>
  <w:abstractNum w:abstractNumId="1">
    <w:nsid w:val="5A5F2384"/>
    <w:multiLevelType w:val="singleLevel"/>
    <w:tmpl w:val="5A5F2384"/>
    <w:lvl w:ilvl="0" w:tentative="0">
      <w:start w:val="1"/>
      <w:numFmt w:val="chineseCounting"/>
      <w:suff w:val="nothing"/>
      <w:lvlText w:val="%1、"/>
      <w:lvlJc w:val="left"/>
      <w:pPr>
        <w:ind w:left="0" w:firstLine="0"/>
      </w:pPr>
    </w:lvl>
  </w:abstractNum>
  <w:abstractNum w:abstractNumId="2">
    <w:nsid w:val="5A5F2A51"/>
    <w:multiLevelType w:val="singleLevel"/>
    <w:tmpl w:val="5A5F2A51"/>
    <w:lvl w:ilvl="0" w:tentative="0">
      <w:start w:val="1"/>
      <w:numFmt w:val="chineseCounting"/>
      <w:suff w:val="nothing"/>
      <w:lvlText w:val="%1、"/>
      <w:lvlJc w:val="left"/>
      <w:pPr>
        <w:ind w:left="0" w:firstLine="0"/>
      </w:pPr>
    </w:lvl>
  </w:abstractNum>
  <w:abstractNum w:abstractNumId="3">
    <w:nsid w:val="5A5F50C1"/>
    <w:multiLevelType w:val="singleLevel"/>
    <w:tmpl w:val="5A5F50C1"/>
    <w:lvl w:ilvl="0" w:tentative="0">
      <w:start w:val="1"/>
      <w:numFmt w:val="chineseCounting"/>
      <w:suff w:val="nothing"/>
      <w:lvlText w:val="%1、"/>
      <w:lvlJc w:val="left"/>
      <w:pPr>
        <w:ind w:left="0" w:firstLine="0"/>
      </w:pPr>
    </w:lvl>
  </w:abstractNum>
  <w:abstractNum w:abstractNumId="4">
    <w:nsid w:val="5A600927"/>
    <w:multiLevelType w:val="singleLevel"/>
    <w:tmpl w:val="5A600927"/>
    <w:lvl w:ilvl="0" w:tentative="0">
      <w:start w:val="1"/>
      <w:numFmt w:val="chineseCounting"/>
      <w:suff w:val="nothing"/>
      <w:lvlText w:val="%1、"/>
      <w:lvlJc w:val="left"/>
      <w:pPr>
        <w:ind w:left="0" w:firstLine="0"/>
      </w:pPr>
    </w:lvl>
  </w:abstractNum>
  <w:num w:numId="1">
    <w:abstractNumId w:val="0"/>
    <w:lvlOverride w:ilvl="0">
      <w:startOverride w:val="1"/>
    </w:lvlOverride>
  </w:num>
  <w:num w:numId="2">
    <w:abstractNumId w:val="1"/>
    <w:lvlOverride w:ilvl="0">
      <w:startOverride w:val="1"/>
    </w:lvlOverride>
  </w:num>
  <w:num w:numId="3">
    <w:abstractNumId w:val="2"/>
    <w:lvlOverride w:ilvl="0">
      <w:startOverride w:val="1"/>
    </w:lvlOverride>
  </w:num>
  <w:num w:numId="4">
    <w:abstractNumId w:val="4"/>
    <w:lvlOverride w:ilvl="0">
      <w:startOverride w:val="1"/>
    </w:lvlOverride>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6C8"/>
    <w:rsid w:val="002606C8"/>
    <w:rsid w:val="002F179C"/>
    <w:rsid w:val="008E75E5"/>
    <w:rsid w:val="00A91568"/>
    <w:rsid w:val="00C834A0"/>
    <w:rsid w:val="372C510D"/>
    <w:rsid w:val="3D8A09CD"/>
    <w:rsid w:val="3FE61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rFonts w:ascii="Calibri" w:hAnsi="Calibri" w:eastAsia="宋体" w:cs="Calibri"/>
      <w:sz w:val="18"/>
      <w:szCs w:val="18"/>
    </w:rPr>
  </w:style>
  <w:style w:type="character" w:customStyle="1" w:styleId="8">
    <w:name w:val="页眉 Char"/>
    <w:basedOn w:val="5"/>
    <w:link w:val="4"/>
    <w:qFormat/>
    <w:uiPriority w:val="99"/>
    <w:rPr>
      <w:rFonts w:ascii="Calibri" w:hAnsi="Calibri" w:eastAsia="宋体" w:cs="Calibri"/>
      <w:sz w:val="18"/>
      <w:szCs w:val="18"/>
    </w:rPr>
  </w:style>
  <w:style w:type="character" w:customStyle="1" w:styleId="9">
    <w:name w:val="页脚 Char"/>
    <w:basedOn w:val="5"/>
    <w:link w:val="3"/>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296</Words>
  <Characters>1693</Characters>
  <Lines>14</Lines>
  <Paragraphs>3</Paragraphs>
  <TotalTime>0</TotalTime>
  <ScaleCrop>false</ScaleCrop>
  <LinksUpToDate>false</LinksUpToDate>
  <CharactersWithSpaces>1986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2018-04-19T00:40:00Z</dcterms:created>
  <dc:creator>dd</dc:creator>
  <cp:lastModifiedBy>小捣</cp:lastModifiedBy>
  <cp:lastPrinted>2018-04-19T01:06:00Z</cp:lastPrinted>
  <dcterms:modified xsi:type="dcterms:W3CDTF">2018-05-23T10:58:37Z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