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ind w:firstLine="3120" w:firstLineChars="600"/>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2016年</w:t>
      </w:r>
    </w:p>
    <w:p>
      <w:pPr>
        <w:ind w:firstLine="1040" w:firstLineChars="200"/>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蕉岭县润玉幼儿园部门预算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蕉岭县润玉幼儿园概况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蕉岭县润玉幼儿园概况</w:t>
      </w:r>
    </w:p>
    <w:p>
      <w:pPr>
        <w:spacing w:line="288" w:lineRule="auto"/>
        <w:ind w:firstLine="640" w:firstLineChars="200"/>
        <w:rPr>
          <w:rFonts w:ascii="黑体" w:hAnsi="黑体" w:eastAsia="黑体" w:cs="黑体"/>
          <w:sz w:val="32"/>
          <w:szCs w:val="32"/>
        </w:rPr>
      </w:pPr>
      <w:r>
        <w:rPr>
          <w:rFonts w:hint="eastAsia" w:ascii="黑体" w:hAnsi="黑体" w:eastAsia="黑体" w:cs="黑体"/>
          <w:sz w:val="32"/>
          <w:szCs w:val="32"/>
        </w:rPr>
        <w:t>一</w:t>
      </w:r>
      <w:r>
        <w:rPr>
          <w:rFonts w:ascii="Calibri" w:hAnsi="Calibri" w:eastAsia="宋体" w:cs="Times New Roman"/>
          <w:b/>
          <w:sz w:val="28"/>
          <w:szCs w:val="28"/>
        </w:rPr>
        <w:t>、</w:t>
      </w:r>
      <w:r>
        <w:rPr>
          <w:rFonts w:hint="eastAsia" w:ascii="黑体" w:hAnsi="黑体" w:eastAsia="黑体" w:cs="黑体"/>
          <w:sz w:val="32"/>
          <w:szCs w:val="32"/>
        </w:rPr>
        <w:t>主要职责</w:t>
      </w:r>
    </w:p>
    <w:p>
      <w:pPr>
        <w:spacing w:line="288" w:lineRule="auto"/>
        <w:ind w:firstLine="602" w:firstLineChars="200"/>
        <w:rPr>
          <w:rFonts w:ascii="仿宋_GB2312" w:hAnsi="Calibri" w:eastAsia="仿宋_GB2312" w:cs="Times New Roman"/>
          <w:b/>
          <w:sz w:val="30"/>
          <w:szCs w:val="30"/>
        </w:rPr>
      </w:pPr>
      <w:r>
        <w:rPr>
          <w:rFonts w:hint="eastAsia" w:ascii="仿宋_GB2312" w:hAnsi="Calibri" w:eastAsia="仿宋_GB2312" w:cs="Times New Roman"/>
          <w:b/>
          <w:sz w:val="30"/>
          <w:szCs w:val="30"/>
        </w:rPr>
        <w:t>（一）部门机构设置、职能</w:t>
      </w:r>
    </w:p>
    <w:p>
      <w:pPr>
        <w:pStyle w:val="10"/>
        <w:shd w:val="clear" w:color="auto" w:fill="FFFFFF"/>
        <w:spacing w:line="360" w:lineRule="auto"/>
        <w:ind w:firstLine="700" w:firstLineChars="250"/>
        <w:rPr>
          <w:rFonts w:hint="eastAsia" w:ascii="仿宋" w:hAnsi="仿宋" w:eastAsia="仿宋" w:cs="仿宋"/>
          <w:b w:val="0"/>
          <w:bCs w:val="0"/>
          <w:sz w:val="28"/>
          <w:szCs w:val="28"/>
        </w:rPr>
      </w:pPr>
      <w:r>
        <w:rPr>
          <w:rFonts w:hint="eastAsia" w:ascii="仿宋" w:hAnsi="仿宋" w:eastAsia="仿宋" w:cs="仿宋"/>
          <w:b w:val="0"/>
          <w:bCs w:val="0"/>
          <w:sz w:val="28"/>
          <w:szCs w:val="28"/>
        </w:rPr>
        <w:t>蕉岭县润玉幼儿园设5个内设机构：园长室、业务园长室、保健室、财务室教研组。</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认真贯彻执行党和国家的有关法律法规、方针、政策，</w:t>
      </w:r>
      <w:r>
        <w:rPr>
          <w:rFonts w:hint="eastAsia" w:ascii="仿宋" w:hAnsi="仿宋" w:eastAsia="仿宋" w:cs="仿宋"/>
          <w:b w:val="0"/>
          <w:bCs w:val="0"/>
          <w:spacing w:val="15"/>
          <w:kern w:val="0"/>
          <w:sz w:val="28"/>
          <w:szCs w:val="28"/>
        </w:rPr>
        <w:t>坚持民主管理，依法办园，</w:t>
      </w:r>
      <w:r>
        <w:rPr>
          <w:rFonts w:hint="eastAsia" w:ascii="仿宋" w:hAnsi="仿宋" w:eastAsia="仿宋" w:cs="仿宋"/>
          <w:b w:val="0"/>
          <w:bCs w:val="0"/>
          <w:kern w:val="0"/>
          <w:sz w:val="28"/>
          <w:szCs w:val="28"/>
        </w:rPr>
        <w:t>执行上级主管部门的指示和决定。</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实行保育和教育相结合的原则，</w:t>
      </w:r>
      <w:r>
        <w:rPr>
          <w:rFonts w:hint="eastAsia" w:ascii="仿宋" w:hAnsi="仿宋" w:eastAsia="仿宋" w:cs="仿宋"/>
          <w:b w:val="0"/>
          <w:bCs w:val="0"/>
          <w:spacing w:val="15"/>
          <w:kern w:val="0"/>
          <w:sz w:val="28"/>
          <w:szCs w:val="28"/>
        </w:rPr>
        <w:t>对幼儿实施体、智、德、美诸方面全面发展的教育，促进其身心和谐发展。</w:t>
      </w:r>
      <w:r>
        <w:rPr>
          <w:rFonts w:hint="eastAsia" w:ascii="仿宋" w:hAnsi="仿宋" w:eastAsia="仿宋" w:cs="仿宋"/>
          <w:b w:val="0"/>
          <w:bCs w:val="0"/>
          <w:kern w:val="0"/>
          <w:sz w:val="28"/>
          <w:szCs w:val="28"/>
        </w:rPr>
        <w:t>为家长解除后顾之忧，热忱为家长服务。</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尊重儿童的人格尊严和基本权利，尊重儿童身心发展的特点和规律，为儿童提供健康、丰富的生活和活动环境。合理组织幼儿一日生活活动和其它活动，促进幼儿体智德美等和谐发展，全面实施素质教育。</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严格执行幼儿园安全、卫生保健制度，保证幼儿身心健康和生命安全。</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充分利用幼儿和社区的资源优势，面向家长开展多种形式的早期教育宣传、指导等服务，促进家庭教育质量的不断提高。</w:t>
      </w:r>
    </w:p>
    <w:p>
      <w:pPr>
        <w:pStyle w:val="10"/>
        <w:numPr>
          <w:ilvl w:val="0"/>
          <w:numId w:val="3"/>
        </w:numPr>
        <w:shd w:val="clear" w:color="auto" w:fill="FFFFFF"/>
        <w:spacing w:line="360" w:lineRule="auto"/>
        <w:ind w:firstLine="700" w:firstLineChars="250"/>
        <w:rPr>
          <w:rFonts w:hint="eastAsia" w:ascii="仿宋" w:hAnsi="仿宋" w:eastAsia="仿宋" w:cs="仿宋"/>
          <w:b w:val="0"/>
          <w:bCs w:val="0"/>
          <w:kern w:val="0"/>
          <w:sz w:val="28"/>
          <w:szCs w:val="28"/>
        </w:rPr>
      </w:pPr>
      <w:r>
        <w:rPr>
          <w:rFonts w:hint="eastAsia" w:ascii="仿宋" w:hAnsi="仿宋" w:eastAsia="仿宋" w:cs="仿宋"/>
          <w:b w:val="0"/>
          <w:bCs w:val="0"/>
          <w:kern w:val="0"/>
          <w:sz w:val="28"/>
          <w:szCs w:val="28"/>
        </w:rPr>
        <w:t>贯彻幼儿教育法规、传播科学教育理念、开展教育科学研究、培训师资，发挥市示范性幼儿园的示范、辐射作用。</w:t>
      </w:r>
      <w:bookmarkStart w:id="0" w:name="_GoBack"/>
      <w:bookmarkEnd w:id="0"/>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560" w:firstLineChars="200"/>
        <w:rPr>
          <w:rFonts w:hint="eastAsia" w:ascii="仿宋" w:hAnsi="仿宋" w:eastAsia="仿宋" w:cs="仿宋"/>
          <w:b w:val="0"/>
          <w:bCs w:val="0"/>
          <w:kern w:val="0"/>
          <w:sz w:val="28"/>
          <w:szCs w:val="28"/>
          <w:lang w:val="en-US" w:eastAsia="zh-CN" w:bidi="ar-SA"/>
        </w:rPr>
      </w:pPr>
      <w:r>
        <w:rPr>
          <w:rFonts w:hint="eastAsia" w:ascii="仿宋" w:hAnsi="仿宋" w:eastAsia="仿宋" w:cs="仿宋"/>
          <w:b w:val="0"/>
          <w:bCs w:val="0"/>
          <w:kern w:val="0"/>
          <w:sz w:val="28"/>
          <w:szCs w:val="28"/>
          <w:lang w:val="en-US" w:eastAsia="zh-CN" w:bidi="ar-SA"/>
        </w:rPr>
        <w:t>(一)本部门无下属单位，部门预算为县本级预算。</w:t>
      </w:r>
    </w:p>
    <w:p>
      <w:pPr>
        <w:spacing w:line="288"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kern w:val="0"/>
          <w:sz w:val="28"/>
          <w:szCs w:val="28"/>
          <w:lang w:eastAsia="zh-CN"/>
        </w:rPr>
        <w:t>（二）</w:t>
      </w:r>
      <w:r>
        <w:rPr>
          <w:rFonts w:hint="eastAsia" w:ascii="仿宋" w:hAnsi="仿宋" w:eastAsia="仿宋" w:cs="仿宋"/>
          <w:b w:val="0"/>
          <w:bCs w:val="0"/>
          <w:kern w:val="0"/>
          <w:sz w:val="28"/>
          <w:szCs w:val="28"/>
        </w:rPr>
        <w:t>列入本年度决算编制的人员构成如下：</w:t>
      </w:r>
      <w:r>
        <w:rPr>
          <w:rFonts w:hint="eastAsia" w:ascii="仿宋" w:hAnsi="仿宋" w:eastAsia="仿宋" w:cs="仿宋"/>
          <w:b w:val="0"/>
          <w:bCs w:val="0"/>
          <w:sz w:val="28"/>
          <w:szCs w:val="28"/>
        </w:rPr>
        <w:t>编制38人，实有在职人员37人、退休人员23人。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spacing w:line="288" w:lineRule="auto"/>
        <w:ind w:firstLine="1100" w:firstLineChars="25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ind w:firstLine="800" w:firstLineChars="250"/>
        <w:rPr>
          <w:rFonts w:ascii="仿宋_GB2312" w:eastAsia="仿宋_GB2312"/>
          <w:sz w:val="32"/>
          <w:szCs w:val="32"/>
        </w:rPr>
      </w:pPr>
      <w:r>
        <w:rPr>
          <w:rFonts w:hint="eastAsia" w:ascii="仿宋_GB2312" w:eastAsia="仿宋_GB2312"/>
          <w:sz w:val="32"/>
          <w:szCs w:val="32"/>
        </w:rPr>
        <w:t>详见：蕉岭县蕉岭县润玉幼儿园2016年度部门预算公开情况表（公开01表-公开11表）。</w:t>
      </w:r>
    </w:p>
    <w:p>
      <w:pPr>
        <w:jc w:val="center"/>
        <w:rPr>
          <w:rFonts w:ascii="方正小标宋简体" w:hAnsi="方正小标宋简体" w:eastAsia="方正小标宋简体" w:cs="方正小标宋简体"/>
          <w:sz w:val="44"/>
          <w:szCs w:val="44"/>
        </w:rPr>
      </w:pP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2016年本部门收入预算425.69万元，比上年增加3.91万元，增长0.09%，主要原因是工资变动；支出预算425.69万元，比上年增加3.91万元，增长0.09%，主要原因是工资变。</w:t>
      </w:r>
    </w:p>
    <w:p>
      <w:pPr>
        <w:ind w:firstLine="64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2016年本部门“三公”经费预算安排无，上年也无。</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2016年，本部门机关运行经费安排无，上年也无。</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截至2016年12月31日，本部门占有使用国有资产总体情况为：187.04万元。分布构成情况为：土地房屋及构建物107.26万元，主要实物资产数据情况为：79.78万元。</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ind w:left="1758" w:leftChars="304" w:hanging="1120" w:hangingChars="3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w:t>
      </w:r>
    </w:p>
    <w:p>
      <w:pPr>
        <w:ind w:left="1758" w:leftChars="304" w:hanging="1120" w:hangingChars="3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hint="eastAsia" w:ascii="仿宋" w:hAnsi="仿宋" w:eastAsia="仿宋" w:cs="仿宋"/>
          <w:kern w:val="0"/>
          <w:sz w:val="30"/>
          <w:szCs w:val="30"/>
        </w:rPr>
      </w:pPr>
      <w:r>
        <w:rPr>
          <w:rFonts w:hint="eastAsia" w:ascii="仿宋" w:hAnsi="仿宋" w:eastAsia="仿宋" w:cs="仿宋"/>
          <w:b/>
          <w:sz w:val="32"/>
          <w:szCs w:val="32"/>
        </w:rPr>
        <w:t>财政拨款收入</w:t>
      </w:r>
      <w:r>
        <w:rPr>
          <w:rFonts w:hint="eastAsia" w:ascii="仿宋" w:hAnsi="仿宋" w:eastAsia="仿宋" w:cs="仿宋"/>
          <w:kern w:val="0"/>
          <w:sz w:val="30"/>
          <w:szCs w:val="30"/>
        </w:rPr>
        <w:t>：指财政当年拨付的资金事业收入。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二、</w:t>
      </w:r>
      <w:r>
        <w:rPr>
          <w:rFonts w:hint="eastAsia" w:ascii="仿宋" w:hAnsi="仿宋" w:eastAsia="仿宋" w:cs="仿宋"/>
          <w:b/>
          <w:sz w:val="32"/>
          <w:szCs w:val="32"/>
        </w:rPr>
        <w:t>事业收入</w:t>
      </w:r>
      <w:r>
        <w:rPr>
          <w:rFonts w:hint="eastAsia" w:ascii="仿宋" w:hAnsi="仿宋" w:eastAsia="仿宋" w:cs="仿宋"/>
          <w:kern w:val="0"/>
          <w:sz w:val="30"/>
          <w:szCs w:val="30"/>
        </w:rPr>
        <w:t>：指事业单位开展专业业务活动及辅动所取得的收入。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三、</w:t>
      </w:r>
      <w:r>
        <w:rPr>
          <w:rFonts w:hint="eastAsia" w:ascii="仿宋" w:hAnsi="仿宋" w:eastAsia="仿宋" w:cs="仿宋"/>
          <w:b/>
          <w:sz w:val="32"/>
          <w:szCs w:val="32"/>
        </w:rPr>
        <w:t>经营收入</w:t>
      </w:r>
      <w:r>
        <w:rPr>
          <w:rFonts w:hint="eastAsia" w:ascii="仿宋" w:hAnsi="仿宋" w:eastAsia="仿宋" w:cs="仿宋"/>
          <w:kern w:val="0"/>
          <w:sz w:val="30"/>
          <w:szCs w:val="30"/>
        </w:rPr>
        <w:t>：指事业单位在专业业务活动及其辅助活动之外开展非独立核算经营活动取得的收入。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四、</w:t>
      </w:r>
      <w:r>
        <w:rPr>
          <w:rFonts w:hint="eastAsia" w:ascii="仿宋" w:hAnsi="仿宋" w:eastAsia="仿宋" w:cs="仿宋"/>
          <w:b/>
          <w:sz w:val="32"/>
          <w:szCs w:val="32"/>
        </w:rPr>
        <w:t>其他收入</w:t>
      </w:r>
      <w:r>
        <w:rPr>
          <w:rFonts w:hint="eastAsia" w:ascii="仿宋" w:hAnsi="仿宋" w:eastAsia="仿宋" w:cs="仿宋"/>
          <w:kern w:val="0"/>
          <w:sz w:val="30"/>
          <w:szCs w:val="30"/>
        </w:rPr>
        <w:t>：指除上述“财政拨款收入”、“事业收入”、“经营收入”等以外的收入。主要是非本级财政拨款、存款利息收入、事业单位固定资产出租收入等。</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五、</w:t>
      </w:r>
      <w:r>
        <w:rPr>
          <w:rFonts w:hint="eastAsia" w:ascii="仿宋" w:hAnsi="仿宋" w:eastAsia="仿宋" w:cs="仿宋"/>
          <w:b/>
          <w:sz w:val="32"/>
          <w:szCs w:val="32"/>
        </w:rPr>
        <w:t>用事业基金弥补收支差额</w:t>
      </w:r>
      <w:r>
        <w:rPr>
          <w:rFonts w:hint="eastAsia" w:ascii="仿宋" w:hAnsi="仿宋" w:eastAsia="仿宋" w:cs="仿宋"/>
          <w:kern w:val="0"/>
          <w:sz w:val="30"/>
          <w:szCs w:val="30"/>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六、</w:t>
      </w:r>
      <w:r>
        <w:rPr>
          <w:rFonts w:hint="eastAsia" w:ascii="仿宋" w:hAnsi="仿宋" w:eastAsia="仿宋" w:cs="仿宋"/>
          <w:b/>
          <w:sz w:val="32"/>
          <w:szCs w:val="32"/>
        </w:rPr>
        <w:t>年初结转和结余</w:t>
      </w:r>
      <w:r>
        <w:rPr>
          <w:rFonts w:hint="eastAsia" w:ascii="仿宋" w:hAnsi="仿宋" w:eastAsia="仿宋" w:cs="仿宋"/>
          <w:kern w:val="0"/>
          <w:sz w:val="30"/>
          <w:szCs w:val="30"/>
        </w:rPr>
        <w:t>：指以前年度尚未完成、结转到本年按有关规定继续使用的资金。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七、</w:t>
      </w:r>
      <w:r>
        <w:rPr>
          <w:rFonts w:hint="eastAsia" w:ascii="仿宋" w:hAnsi="仿宋" w:eastAsia="仿宋" w:cs="仿宋"/>
          <w:b/>
          <w:sz w:val="32"/>
          <w:szCs w:val="32"/>
        </w:rPr>
        <w:t>结余分配</w:t>
      </w:r>
      <w:r>
        <w:rPr>
          <w:rFonts w:hint="eastAsia" w:ascii="仿宋" w:hAnsi="仿宋" w:eastAsia="仿宋" w:cs="仿宋"/>
          <w:kern w:val="0"/>
          <w:sz w:val="30"/>
          <w:szCs w:val="30"/>
        </w:rPr>
        <w:t>：指事业事位按规定提取的职工福利基金、事业基金和缴纳的所得税，以及建设单位按规定应交回的基本建设竣工项目结余资金。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八、</w:t>
      </w:r>
      <w:r>
        <w:rPr>
          <w:rFonts w:hint="eastAsia" w:ascii="仿宋" w:hAnsi="仿宋" w:eastAsia="仿宋" w:cs="仿宋"/>
          <w:b/>
          <w:sz w:val="32"/>
          <w:szCs w:val="32"/>
        </w:rPr>
        <w:t>年末结转和结余</w:t>
      </w:r>
      <w:r>
        <w:rPr>
          <w:rFonts w:hint="eastAsia" w:ascii="仿宋" w:hAnsi="仿宋" w:eastAsia="仿宋" w:cs="仿宋"/>
          <w:kern w:val="0"/>
          <w:sz w:val="30"/>
          <w:szCs w:val="30"/>
        </w:rPr>
        <w:t>：指本年度或以前年度预算安排、因客观条件发生变化无法按原计划实施，需要延迟到以后年度按有关规定继续使用的资金。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九</w:t>
      </w:r>
      <w:r>
        <w:rPr>
          <w:rFonts w:hint="eastAsia" w:ascii="仿宋" w:hAnsi="仿宋" w:eastAsia="仿宋" w:cs="仿宋"/>
          <w:b/>
          <w:sz w:val="32"/>
          <w:szCs w:val="32"/>
        </w:rPr>
        <w:t>、基本支出</w:t>
      </w:r>
      <w:r>
        <w:rPr>
          <w:rFonts w:hint="eastAsia" w:ascii="仿宋" w:hAnsi="仿宋" w:eastAsia="仿宋" w:cs="仿宋"/>
          <w:kern w:val="0"/>
          <w:sz w:val="30"/>
          <w:szCs w:val="30"/>
        </w:rPr>
        <w:t>：指为保障机构正常运转、完成日常工作任务面发生的人员支出和公用支出。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w:t>
      </w:r>
      <w:r>
        <w:rPr>
          <w:rFonts w:hint="eastAsia" w:ascii="仿宋" w:hAnsi="仿宋" w:eastAsia="仿宋" w:cs="仿宋"/>
          <w:b/>
          <w:sz w:val="32"/>
          <w:szCs w:val="32"/>
        </w:rPr>
        <w:t>项目支出</w:t>
      </w:r>
      <w:r>
        <w:rPr>
          <w:rFonts w:hint="eastAsia" w:ascii="仿宋" w:hAnsi="仿宋" w:eastAsia="仿宋" w:cs="仿宋"/>
          <w:kern w:val="0"/>
          <w:sz w:val="30"/>
          <w:szCs w:val="30"/>
        </w:rPr>
        <w:t>：指在基本支出这外为完成特定行政任务和事业发展目标所发生的支出。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十一、</w:t>
      </w:r>
      <w:r>
        <w:rPr>
          <w:rFonts w:hint="eastAsia" w:ascii="仿宋" w:hAnsi="仿宋" w:eastAsia="仿宋" w:cs="仿宋"/>
          <w:b/>
          <w:sz w:val="32"/>
          <w:szCs w:val="32"/>
        </w:rPr>
        <w:t>经营支出</w:t>
      </w:r>
      <w:r>
        <w:rPr>
          <w:rFonts w:hint="eastAsia" w:ascii="仿宋" w:hAnsi="仿宋" w:eastAsia="仿宋" w:cs="仿宋"/>
          <w:kern w:val="0"/>
          <w:sz w:val="30"/>
          <w:szCs w:val="30"/>
        </w:rPr>
        <w:t>：指事业单位在专业业务活动及其辅助活动之外开展非独立核算经营活动所发生的支出。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十二、</w:t>
      </w:r>
      <w:r>
        <w:rPr>
          <w:rFonts w:hint="eastAsia" w:ascii="仿宋" w:hAnsi="仿宋" w:eastAsia="仿宋" w:cs="仿宋"/>
          <w:b/>
          <w:sz w:val="32"/>
          <w:szCs w:val="32"/>
        </w:rPr>
        <w:t>“三公”经费</w:t>
      </w:r>
      <w:r>
        <w:rPr>
          <w:rFonts w:hint="eastAsia" w:ascii="仿宋" w:hAnsi="仿宋" w:eastAsia="仿宋" w:cs="仿宋"/>
          <w:kern w:val="0"/>
          <w:sz w:val="30"/>
          <w:szCs w:val="30"/>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588" w:firstLineChars="196"/>
        <w:rPr>
          <w:rFonts w:ascii="方正小标宋简体" w:hAnsi="方正小标宋简体" w:eastAsia="方正小标宋简体" w:cs="方正小标宋简体"/>
          <w:sz w:val="44"/>
          <w:szCs w:val="44"/>
        </w:rPr>
      </w:pPr>
      <w:r>
        <w:rPr>
          <w:rFonts w:hint="eastAsia" w:ascii="仿宋" w:hAnsi="仿宋" w:eastAsia="仿宋" w:cs="仿宋"/>
          <w:kern w:val="0"/>
          <w:sz w:val="30"/>
          <w:szCs w:val="30"/>
        </w:rPr>
        <w:t>十三、</w:t>
      </w:r>
      <w:r>
        <w:rPr>
          <w:rFonts w:hint="eastAsia" w:ascii="仿宋" w:hAnsi="仿宋" w:eastAsia="仿宋" w:cs="仿宋"/>
          <w:b/>
          <w:sz w:val="32"/>
          <w:szCs w:val="32"/>
        </w:rPr>
        <w:t>机关运行经费</w:t>
      </w:r>
      <w:r>
        <w:rPr>
          <w:rFonts w:hint="eastAsia" w:ascii="仿宋" w:hAnsi="仿宋" w:eastAsia="仿宋" w:cs="仿宋"/>
          <w:kern w:val="0"/>
          <w:sz w:val="30"/>
          <w:szCs w:val="30"/>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50C1"/>
    <w:multiLevelType w:val="singleLevel"/>
    <w:tmpl w:val="5A5F50C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abstractNum w:abstractNumId="4">
    <w:nsid w:val="5FDBAC3D"/>
    <w:multiLevelType w:val="singleLevel"/>
    <w:tmpl w:val="5FDBAC3D"/>
    <w:lvl w:ilvl="0" w:tentative="0">
      <w:start w:val="1"/>
      <w:numFmt w:val="decimal"/>
      <w:suff w:val="nothing"/>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45884"/>
    <w:rsid w:val="00147CC7"/>
    <w:rsid w:val="00247B56"/>
    <w:rsid w:val="003966AD"/>
    <w:rsid w:val="003F4EDC"/>
    <w:rsid w:val="00445BAE"/>
    <w:rsid w:val="005C7800"/>
    <w:rsid w:val="006B2850"/>
    <w:rsid w:val="006D5847"/>
    <w:rsid w:val="00757B61"/>
    <w:rsid w:val="007E5A36"/>
    <w:rsid w:val="008E3167"/>
    <w:rsid w:val="009D162C"/>
    <w:rsid w:val="009D5974"/>
    <w:rsid w:val="00A67477"/>
    <w:rsid w:val="00AC3295"/>
    <w:rsid w:val="00AD6642"/>
    <w:rsid w:val="00BD4F69"/>
    <w:rsid w:val="00D17A74"/>
    <w:rsid w:val="00D73717"/>
    <w:rsid w:val="00DB7C77"/>
    <w:rsid w:val="00E14713"/>
    <w:rsid w:val="00FA44EE"/>
    <w:rsid w:val="00FA76FA"/>
    <w:rsid w:val="081D07C1"/>
    <w:rsid w:val="26725DC0"/>
    <w:rsid w:val="2F300128"/>
    <w:rsid w:val="3CFA7661"/>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kern w:val="2"/>
      <w:sz w:val="18"/>
      <w:szCs w:val="18"/>
    </w:rPr>
  </w:style>
  <w:style w:type="character" w:customStyle="1" w:styleId="8">
    <w:name w:val="页脚 Char"/>
    <w:basedOn w:val="5"/>
    <w:link w:val="3"/>
    <w:uiPriority w:val="0"/>
    <w:rPr>
      <w:kern w:val="2"/>
      <w:sz w:val="18"/>
      <w:szCs w:val="18"/>
    </w:rPr>
  </w:style>
  <w:style w:type="character" w:customStyle="1" w:styleId="9">
    <w:name w:val="日期 Char"/>
    <w:basedOn w:val="5"/>
    <w:link w:val="2"/>
    <w:uiPriority w:val="0"/>
    <w:rPr>
      <w:kern w:val="2"/>
      <w:sz w:val="21"/>
      <w:szCs w:val="24"/>
    </w:rPr>
  </w:style>
  <w:style w:type="paragraph" w:customStyle="1" w:styleId="10">
    <w:name w:val="newnewnewnewnewnewnewnewnewnewnew"/>
    <w:basedOn w:val="1"/>
    <w:uiPriority w:val="0"/>
    <w:pPr>
      <w:widowControl/>
      <w:jc w:val="left"/>
    </w:pPr>
    <w:rPr>
      <w:rFonts w:ascii="宋体" w:hAnsi="宋体" w:eastAsia="宋体" w:cs="宋体"/>
      <w:kern w:val="0"/>
      <w:sz w:val="24"/>
    </w:rPr>
  </w:style>
  <w:style w:type="paragraph" w:styleId="11">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9</Pages>
  <Words>350</Words>
  <Characters>1995</Characters>
  <Lines>16</Lines>
  <Paragraphs>4</Paragraphs>
  <TotalTime>65</TotalTime>
  <ScaleCrop>false</ScaleCrop>
  <LinksUpToDate>false</LinksUpToDate>
  <CharactersWithSpaces>2341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2018-05-23T03:21:41Z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