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蕉岭县侨兴中学</w:t>
      </w:r>
    </w:p>
    <w:p>
      <w:pPr>
        <w:jc w:val="center"/>
        <w:rPr>
          <w:rFonts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黑体" w:eastAsia="黑体" w:cs="Times New Roman"/>
          <w:sz w:val="44"/>
          <w:szCs w:val="44"/>
        </w:rPr>
      </w:pPr>
      <w:r>
        <w:rPr>
          <w:rFonts w:ascii="方正小标宋简体" w:hAnsi="方正小标宋简体" w:eastAsia="方正小标宋简体" w:cs="Times New Roman"/>
          <w:sz w:val="84"/>
          <w:szCs w:val="84"/>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蕉岭县侨兴中学概况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ind w:firstLine="640" w:firstLineChars="200"/>
        <w:rPr>
          <w:rFonts w:ascii="黑体" w:hAnsi="黑体" w:eastAsia="黑体" w:cs="Times New Roman"/>
          <w:sz w:val="32"/>
          <w:szCs w:val="32"/>
        </w:rPr>
      </w:pPr>
    </w:p>
    <w:p>
      <w:pPr>
        <w:jc w:val="center"/>
        <w:rPr>
          <w:rFonts w:ascii="方正小标宋简体" w:hAnsi="方正小标宋简体" w:eastAsia="方正小标宋简体" w:cs="方正小标宋简体"/>
          <w:sz w:val="44"/>
          <w:szCs w:val="44"/>
        </w:rPr>
      </w:pPr>
    </w:p>
    <w:p>
      <w:pPr>
        <w:jc w:val="center"/>
        <w:rPr>
          <w:rFonts w:hint="eastAsia" w:ascii="黑体" w:hAnsi="黑体" w:eastAsia="黑体" w:cs="黑体"/>
          <w:sz w:val="48"/>
          <w:szCs w:val="48"/>
        </w:rPr>
      </w:pPr>
      <w:r>
        <w:rPr>
          <w:rFonts w:hint="eastAsia" w:ascii="黑体" w:hAnsi="黑体" w:eastAsia="黑体" w:cs="黑体"/>
          <w:sz w:val="48"/>
          <w:szCs w:val="48"/>
        </w:rPr>
        <w:t xml:space="preserve">第一部分  </w:t>
      </w:r>
      <w:r>
        <w:rPr>
          <w:rFonts w:hint="eastAsia" w:ascii="黑体" w:hAnsi="黑体" w:eastAsia="黑体" w:cs="黑体"/>
          <w:sz w:val="48"/>
          <w:szCs w:val="48"/>
        </w:rPr>
        <w:t>蕉岭县侨兴中学概况</w:t>
      </w:r>
    </w:p>
    <w:p>
      <w:pPr>
        <w:rPr>
          <w:rFonts w:ascii="黑体" w:hAnsi="黑体" w:eastAsia="黑体" w:cs="Times New Roman"/>
          <w:sz w:val="44"/>
          <w:szCs w:val="44"/>
        </w:rPr>
      </w:pPr>
    </w:p>
    <w:p>
      <w:pPr>
        <w:numPr>
          <w:ilvl w:val="0"/>
          <w:numId w:val="3"/>
        </w:numPr>
        <w:ind w:firstLine="640"/>
        <w:rPr>
          <w:rFonts w:ascii="仿宋_GB2312" w:eastAsia="仿宋_GB2312" w:cs="Times New Roman"/>
          <w:b/>
          <w:bCs/>
          <w:sz w:val="32"/>
          <w:szCs w:val="32"/>
        </w:rPr>
      </w:pPr>
      <w:r>
        <w:rPr>
          <w:rFonts w:hint="eastAsia" w:ascii="黑体" w:hAnsi="黑体" w:eastAsia="黑体" w:cs="黑体"/>
          <w:sz w:val="32"/>
          <w:szCs w:val="32"/>
        </w:rPr>
        <w:t>主要职责</w:t>
      </w:r>
    </w:p>
    <w:p>
      <w:pPr>
        <w:ind w:firstLine="640" w:firstLineChars="200"/>
        <w:rPr>
          <w:rFonts w:ascii="仿宋_GB2312" w:eastAsia="仿宋_GB2312" w:cs="Times New Roman"/>
          <w:b/>
          <w:bCs/>
          <w:sz w:val="32"/>
          <w:szCs w:val="32"/>
        </w:rPr>
      </w:pPr>
      <w:r>
        <w:rPr>
          <w:rFonts w:hint="eastAsia" w:ascii="仿宋_GB2312" w:eastAsia="仿宋_GB2312" w:cs="仿宋_GB2312"/>
          <w:sz w:val="32"/>
          <w:szCs w:val="32"/>
        </w:rPr>
        <w:t>蕉岭县侨兴中学是由蕉岭县教育局举办的一间中学，主要职能：承担中学教育。</w:t>
      </w:r>
    </w:p>
    <w:p>
      <w:pPr>
        <w:rPr>
          <w:rFonts w:ascii="仿宋_GB2312" w:hAnsi="仿宋_GB2312" w:eastAsia="仿宋_GB2312" w:cs="Times New Roman"/>
          <w:sz w:val="32"/>
          <w:szCs w:val="32"/>
        </w:rPr>
      </w:pPr>
    </w:p>
    <w:p>
      <w:pPr>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（一）本部门预算无下属单位，部门预算为本级预算。</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（二）本部门内设机构：</w:t>
      </w:r>
      <w:r>
        <w:rPr>
          <w:rFonts w:hint="eastAsia" w:ascii="仿宋_GB2312" w:eastAsia="仿宋_GB2312" w:cs="仿宋_GB2312"/>
          <w:sz w:val="32"/>
          <w:szCs w:val="32"/>
        </w:rPr>
        <w:t>根据蕉委发</w:t>
      </w:r>
      <w:r>
        <w:rPr>
          <w:rFonts w:ascii="仿宋_GB2312" w:eastAsia="仿宋_GB2312" w:cs="仿宋_GB2312"/>
          <w:sz w:val="32"/>
          <w:szCs w:val="32"/>
        </w:rPr>
        <w:t>[2007]7</w:t>
      </w:r>
      <w:r>
        <w:rPr>
          <w:rFonts w:hint="eastAsia" w:ascii="仿宋_GB2312" w:eastAsia="仿宋_GB2312" w:cs="仿宋_GB2312"/>
          <w:sz w:val="32"/>
          <w:szCs w:val="32"/>
        </w:rPr>
        <w:t>号文件精神，侨兴中学为一级预算单位，无所属二级预算单位，内设有教务处、政教处、团委、总务处。各部门互相协调，为教育教学服务。</w:t>
      </w:r>
    </w:p>
    <w:p>
      <w:pPr>
        <w:spacing w:line="288" w:lineRule="auto"/>
        <w:ind w:firstLine="640" w:firstLineChars="200"/>
        <w:rPr>
          <w:rFonts w:ascii="宋体" w:hAnsi="宋体" w:cs="宋体"/>
          <w:sz w:val="30"/>
          <w:szCs w:val="30"/>
        </w:rPr>
      </w:pPr>
      <w:r>
        <w:rPr>
          <w:rFonts w:hint="eastAsia" w:ascii="仿宋_GB2312" w:hAnsi="仿宋_GB2312" w:eastAsia="仿宋_GB2312" w:cs="仿宋_GB2312"/>
          <w:sz w:val="32"/>
          <w:szCs w:val="32"/>
        </w:rPr>
        <w:t>人员构成情况：侨兴中学共有编制22人，实有在职人员21人、退休人员12人。</w:t>
      </w:r>
    </w:p>
    <w:p>
      <w:pPr>
        <w:spacing w:line="288" w:lineRule="auto"/>
        <w:ind w:firstLine="640" w:firstLineChars="200"/>
        <w:rPr>
          <w:rFonts w:ascii="仿宋_GB2312" w:eastAsia="仿宋_GB2312" w:cs="Times New Roman"/>
          <w:sz w:val="32"/>
          <w:szCs w:val="32"/>
        </w:rPr>
      </w:pPr>
    </w:p>
    <w:p>
      <w:pPr>
        <w:rPr>
          <w:rFonts w:ascii="黑体" w:hAnsi="黑体" w:eastAsia="黑体" w:cs="Times New Roman"/>
          <w:sz w:val="44"/>
          <w:szCs w:val="44"/>
        </w:rPr>
        <w:sectPr>
          <w:pgSz w:w="11906" w:h="16838"/>
          <w:pgMar w:top="1440" w:right="1466" w:bottom="1440" w:left="1800" w:header="851" w:footer="992" w:gutter="0"/>
          <w:cols w:space="425" w:num="1"/>
          <w:docGrid w:type="lines" w:linePitch="312" w:charSpace="0"/>
        </w:sectPr>
      </w:pPr>
    </w:p>
    <w:p>
      <w:pPr>
        <w:numPr>
          <w:ilvl w:val="0"/>
          <w:numId w:val="4"/>
        </w:numPr>
        <w:jc w:val="center"/>
        <w:rPr>
          <w:rFonts w:hint="eastAsia" w:ascii="黑体" w:hAnsi="黑体" w:eastAsia="黑体" w:cs="黑体"/>
          <w:sz w:val="48"/>
          <w:szCs w:val="48"/>
        </w:rPr>
      </w:pPr>
      <w:r>
        <w:rPr>
          <w:rFonts w:hint="eastAsia" w:ascii="黑体" w:hAnsi="黑体" w:eastAsia="黑体" w:cs="黑体"/>
          <w:sz w:val="48"/>
          <w:szCs w:val="48"/>
        </w:rPr>
        <w:t xml:space="preserve"> 2016年部门预算表</w:t>
      </w:r>
    </w:p>
    <w:p>
      <w:pPr>
        <w:numPr>
          <w:numId w:val="0"/>
        </w:numPr>
        <w:jc w:val="center"/>
        <w:rPr>
          <w:rFonts w:hint="eastAsia" w:ascii="黑体" w:hAnsi="黑体" w:eastAsia="黑体" w:cs="黑体"/>
          <w:sz w:val="48"/>
          <w:szCs w:val="48"/>
        </w:rPr>
      </w:pPr>
      <w:bookmarkStart w:id="0" w:name="_GoBack"/>
      <w:bookmarkEnd w:id="0"/>
      <w:r>
        <w:rPr>
          <w:rFonts w:hint="eastAsia" w:ascii="黑体" w:hAnsi="黑体" w:eastAsia="黑体" w:cs="黑体"/>
          <w:sz w:val="48"/>
          <w:szCs w:val="48"/>
        </w:rPr>
        <w:t>（详见2016年部门预算公开表）</w:t>
      </w:r>
    </w:p>
    <w:p>
      <w:pPr>
        <w:rPr>
          <w:rFonts w:cs="Times New Roman"/>
        </w:rPr>
      </w:pPr>
    </w:p>
    <w:p>
      <w:pPr>
        <w:rPr>
          <w:rFonts w:cs="Times New Roman"/>
        </w:rPr>
      </w:pPr>
    </w:p>
    <w:p>
      <w:pPr>
        <w:numPr>
          <w:ilvl w:val="0"/>
          <w:numId w:val="5"/>
        </w:numPr>
        <w:jc w:val="center"/>
        <w:rPr>
          <w:rFonts w:hint="eastAsia" w:ascii="黑体" w:hAnsi="黑体" w:eastAsia="黑体" w:cs="黑体"/>
          <w:sz w:val="48"/>
          <w:szCs w:val="48"/>
        </w:rPr>
      </w:pPr>
      <w:r>
        <w:rPr>
          <w:rFonts w:hint="eastAsia" w:ascii="黑体" w:hAnsi="黑体" w:eastAsia="黑体" w:cs="黑体"/>
          <w:sz w:val="48"/>
          <w:szCs w:val="48"/>
        </w:rPr>
        <w:br w:type="page"/>
      </w:r>
      <w:r>
        <w:rPr>
          <w:rFonts w:hint="eastAsia" w:ascii="黑体" w:hAnsi="黑体" w:eastAsia="黑体" w:cs="黑体"/>
          <w:sz w:val="48"/>
          <w:szCs w:val="48"/>
        </w:rPr>
        <w:t xml:space="preserve"> 2016年部门预算情况说明</w:t>
      </w:r>
    </w:p>
    <w:p>
      <w:pPr>
        <w:numPr>
          <w:numId w:val="0"/>
        </w:numPr>
        <w:jc w:val="both"/>
        <w:rPr>
          <w:rFonts w:hint="eastAsia" w:ascii="黑体" w:hAnsi="黑体" w:eastAsia="黑体" w:cs="黑体"/>
          <w:sz w:val="48"/>
          <w:szCs w:val="48"/>
        </w:rPr>
      </w:pP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6年本部门收入预算</w:t>
      </w:r>
      <w:r>
        <w:rPr>
          <w:rFonts w:hint="eastAsia" w:ascii="宋体" w:hAnsi="宋体"/>
          <w:sz w:val="32"/>
          <w:szCs w:val="32"/>
        </w:rPr>
        <w:t>266.02</w:t>
      </w:r>
      <w:r>
        <w:rPr>
          <w:rFonts w:hint="eastAsia" w:ascii="仿宋_GB2312" w:hAnsi="仿宋_GB2312" w:eastAsia="仿宋_GB2312" w:cs="仿宋_GB2312"/>
          <w:sz w:val="32"/>
          <w:szCs w:val="32"/>
        </w:rPr>
        <w:t>万元，比上年</w:t>
      </w:r>
      <w:r>
        <w:rPr>
          <w:rFonts w:hint="eastAsia" w:ascii="宋体" w:hAnsi="宋体" w:eastAsia="仿宋_GB2312" w:cs="宋体"/>
          <w:sz w:val="32"/>
          <w:szCs w:val="32"/>
        </w:rPr>
        <w:t>226.1</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增加39.92万元，增长17.66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，主要原因是政府加大了对教育的投入，提高了教师的工资待遇；支出预算</w:t>
      </w:r>
      <w:r>
        <w:rPr>
          <w:rFonts w:hint="eastAsia" w:ascii="宋体" w:hAnsi="宋体" w:cs="宋体"/>
          <w:sz w:val="30"/>
          <w:szCs w:val="30"/>
        </w:rPr>
        <w:t>266.02</w:t>
      </w:r>
      <w:r>
        <w:rPr>
          <w:rFonts w:hint="eastAsia" w:ascii="仿宋_GB2312" w:hAnsi="仿宋_GB2312" w:eastAsia="仿宋_GB2312" w:cs="仿宋_GB2312"/>
          <w:sz w:val="32"/>
          <w:szCs w:val="32"/>
        </w:rPr>
        <w:t>万元，比上年</w:t>
      </w:r>
      <w:r>
        <w:rPr>
          <w:rFonts w:hint="eastAsia" w:ascii="宋体" w:hAnsi="宋体" w:eastAsia="仿宋_GB2312" w:cs="宋体"/>
          <w:sz w:val="32"/>
          <w:szCs w:val="32"/>
        </w:rPr>
        <w:t>226.1</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增加39.92万元，增长17.66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，主要原因是政府加大了对教育的投入，提高了教师的工资待遇。</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color w:val="FF0000"/>
          <w:sz w:val="32"/>
          <w:szCs w:val="32"/>
        </w:rPr>
        <w:t xml:space="preserve">   </w:t>
      </w: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等。</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cs="Times New Roman"/>
          <w:b/>
          <w:bCs/>
          <w:sz w:val="32"/>
          <w:szCs w:val="32"/>
        </w:rPr>
      </w:pPr>
      <w:r>
        <w:rPr>
          <w:rFonts w:hint="eastAsia" w:ascii="仿宋_GB2312" w:eastAsia="仿宋_GB2312" w:cs="仿宋_GB2312"/>
          <w:sz w:val="32"/>
          <w:szCs w:val="32"/>
        </w:rPr>
        <w:t>截至</w:t>
      </w:r>
      <w:r>
        <w:rPr>
          <w:rFonts w:ascii="仿宋_GB2312" w:eastAsia="仿宋_GB2312" w:cs="仿宋_GB2312"/>
          <w:sz w:val="32"/>
          <w:szCs w:val="32"/>
        </w:rPr>
        <w:t>201</w:t>
      </w:r>
      <w:r>
        <w:rPr>
          <w:rFonts w:hint="eastAsia" w:ascii="仿宋_GB2312" w:eastAsia="仿宋_GB2312" w:cs="仿宋_GB2312"/>
          <w:sz w:val="32"/>
          <w:szCs w:val="32"/>
        </w:rPr>
        <w:t>5年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w:t>
      </w:r>
      <w:r>
        <w:rPr>
          <w:rFonts w:hint="eastAsia" w:ascii="仿宋_GB2312" w:eastAsia="仿宋_GB2312"/>
          <w:sz w:val="32"/>
          <w:szCs w:val="32"/>
        </w:rPr>
        <w:t>本部门本部门固定资产总值155.61万元，比上年增加9.63万元。共有房屋3509平方米，其中：办公用房70平方米，业务用房2989平方米，其他450平方米，</w:t>
      </w:r>
      <w:r>
        <w:rPr>
          <w:rFonts w:hint="eastAsia" w:ascii="仿宋_GB2312" w:eastAsia="仿宋_GB2312" w:cs="仿宋_GB2312"/>
          <w:sz w:val="32"/>
          <w:szCs w:val="32"/>
        </w:rPr>
        <w:t>本部门共有车辆</w:t>
      </w:r>
      <w:r>
        <w:rPr>
          <w:rFonts w:ascii="仿宋_GB2312" w:eastAsia="仿宋_GB2312" w:cs="仿宋_GB2312"/>
          <w:sz w:val="32"/>
          <w:szCs w:val="32"/>
        </w:rPr>
        <w:t>0</w:t>
      </w:r>
      <w:r>
        <w:rPr>
          <w:rFonts w:hint="eastAsia" w:ascii="仿宋_GB2312" w:eastAsia="仿宋_GB2312" w:cs="仿宋_GB2312"/>
          <w:sz w:val="32"/>
          <w:szCs w:val="32"/>
        </w:rPr>
        <w:t>辆；</w:t>
      </w:r>
      <w:r>
        <w:rPr>
          <w:rFonts w:hint="eastAsia" w:ascii="仿宋_GB2312" w:hAnsi="宋体" w:eastAsia="仿宋_GB2312" w:cs="仿宋_GB2312"/>
          <w:b/>
          <w:bCs/>
          <w:kern w:val="0"/>
          <w:sz w:val="32"/>
          <w:szCs w:val="32"/>
        </w:rPr>
        <w:t>单位价值</w:t>
      </w:r>
      <w:r>
        <w:rPr>
          <w:rFonts w:ascii="仿宋_GB2312" w:hAnsi="宋体" w:eastAsia="仿宋_GB2312" w:cs="仿宋_GB2312"/>
          <w:b/>
          <w:bCs/>
          <w:kern w:val="0"/>
          <w:sz w:val="32"/>
          <w:szCs w:val="32"/>
        </w:rPr>
        <w:t>50</w:t>
      </w:r>
      <w:r>
        <w:rPr>
          <w:rFonts w:hint="eastAsia" w:ascii="仿宋_GB2312" w:hAnsi="宋体" w:eastAsia="仿宋_GB2312" w:cs="仿宋_GB2312"/>
          <w:b/>
          <w:bCs/>
          <w:kern w:val="0"/>
          <w:sz w:val="32"/>
          <w:szCs w:val="32"/>
        </w:rPr>
        <w:t>万元以上通用设备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台（套），单价</w:t>
      </w:r>
      <w:r>
        <w:rPr>
          <w:rFonts w:ascii="仿宋_GB2312" w:hAnsi="宋体" w:eastAsia="仿宋_GB2312" w:cs="仿宋_GB2312"/>
          <w:b/>
          <w:bCs/>
          <w:kern w:val="0"/>
          <w:sz w:val="32"/>
          <w:szCs w:val="32"/>
        </w:rPr>
        <w:t>100</w:t>
      </w:r>
      <w:r>
        <w:rPr>
          <w:rFonts w:hint="eastAsia" w:ascii="仿宋_GB2312" w:hAnsi="宋体" w:eastAsia="仿宋_GB2312" w:cs="仿宋_GB2312"/>
          <w:b/>
          <w:bCs/>
          <w:kern w:val="0"/>
          <w:sz w:val="32"/>
          <w:szCs w:val="32"/>
        </w:rPr>
        <w:t>万元以上专用设备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rPr>
          <w:rFonts w:ascii="方正小标宋简体" w:hAnsi="方正小标宋简体" w:eastAsia="方正小标宋简体" w:cs="Times New Roman"/>
          <w:sz w:val="44"/>
          <w:szCs w:val="44"/>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年，本部门积极按照要求推进相关预算绩效信息公开。</w:t>
      </w: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r>
        <w:rPr>
          <w:rFonts w:hint="eastAsia" w:ascii="黑体" w:hAnsi="黑体" w:eastAsia="黑体" w:cs="黑体"/>
          <w:sz w:val="48"/>
          <w:szCs w:val="48"/>
        </w:rPr>
        <w:br w:type="page"/>
      </w:r>
      <w:r>
        <w:rPr>
          <w:rFonts w:hint="eastAsia" w:ascii="黑体" w:hAnsi="黑体" w:eastAsia="黑体" w:cs="黑体"/>
          <w:sz w:val="48"/>
          <w:szCs w:val="48"/>
        </w:rPr>
        <w:t>第四部分  名词解释</w:t>
      </w:r>
    </w:p>
    <w:p>
      <w:pPr>
        <w:numPr>
          <w:ilvl w:val="0"/>
          <w:numId w:val="7"/>
        </w:numPr>
        <w:spacing w:line="288" w:lineRule="auto"/>
        <w:ind w:firstLine="630" w:firstLineChars="196"/>
        <w:rPr>
          <w:rFonts w:ascii="仿宋_GB2312" w:eastAsia="仿宋_GB2312" w:cs="Times New Roman"/>
          <w:sz w:val="32"/>
          <w:szCs w:val="32"/>
        </w:rPr>
      </w:pPr>
      <w:r>
        <w:rPr>
          <w:rFonts w:hint="eastAsia" w:ascii="仿宋_GB2312" w:eastAsia="仿宋_GB2312" w:cs="仿宋_GB2312"/>
          <w:b/>
          <w:bCs/>
          <w:sz w:val="32"/>
          <w:szCs w:val="32"/>
        </w:rPr>
        <w:t>财政拨款收入：</w:t>
      </w:r>
      <w:r>
        <w:rPr>
          <w:rFonts w:hint="eastAsia" w:ascii="仿宋_GB2312" w:eastAsia="仿宋_GB2312" w:cs="仿宋_GB2312"/>
          <w:sz w:val="32"/>
          <w:szCs w:val="32"/>
        </w:rPr>
        <w:t>指财政当年拨付的资金事业收入。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二、事业收入：</w:t>
      </w:r>
      <w:r>
        <w:rPr>
          <w:rFonts w:hint="eastAsia" w:ascii="仿宋_GB2312" w:eastAsia="仿宋_GB2312" w:cs="仿宋_GB2312"/>
          <w:sz w:val="32"/>
          <w:szCs w:val="32"/>
        </w:rPr>
        <w:t>指事业单位开展专业业务活动及辅动所取得的收入。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三、经营收入：</w:t>
      </w:r>
      <w:r>
        <w:rPr>
          <w:rFonts w:hint="eastAsia" w:ascii="仿宋_GB2312" w:eastAsia="仿宋_GB2312" w:cs="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四、其他收入：</w:t>
      </w:r>
      <w:r>
        <w:rPr>
          <w:rFonts w:hint="eastAsia" w:ascii="仿宋_GB2312" w:eastAsia="仿宋_GB2312" w:cs="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五、用事业基金弥补收支差额：</w:t>
      </w:r>
      <w:r>
        <w:rPr>
          <w:rFonts w:hint="eastAsia" w:ascii="仿宋_GB2312" w:eastAsia="仿宋_GB2312" w:cs="仿宋_GB2312"/>
          <w:sz w:val="32"/>
          <w:szCs w:val="32"/>
        </w:rPr>
        <w:t>指事业单位在用当年的“财政拨款收入”、</w:t>
      </w:r>
      <w:r>
        <w:rPr>
          <w:rFonts w:ascii="仿宋_GB2312" w:eastAsia="仿宋_GB2312" w:cs="仿宋_GB2312"/>
          <w:sz w:val="32"/>
          <w:szCs w:val="32"/>
        </w:rPr>
        <w:t xml:space="preserve"> </w:t>
      </w:r>
      <w:r>
        <w:rPr>
          <w:rFonts w:hint="eastAsia" w:ascii="仿宋_GB2312" w:eastAsia="仿宋_GB2312" w:cs="仿宋_GB2312"/>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六、基本支出：</w:t>
      </w:r>
      <w:r>
        <w:rPr>
          <w:rFonts w:hint="eastAsia" w:ascii="仿宋_GB2312" w:eastAsia="仿宋_GB2312" w:cs="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七、项目支出：</w:t>
      </w:r>
      <w:r>
        <w:rPr>
          <w:rFonts w:hint="eastAsia" w:ascii="仿宋_GB2312" w:eastAsia="仿宋_GB2312" w:cs="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八、经营支出：</w:t>
      </w:r>
      <w:r>
        <w:rPr>
          <w:rFonts w:hint="eastAsia" w:ascii="仿宋_GB2312" w:eastAsia="仿宋_GB2312" w:cs="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Times New Roman"/>
          <w:kern w:val="0"/>
          <w:sz w:val="32"/>
          <w:szCs w:val="32"/>
        </w:rPr>
      </w:pPr>
      <w:r>
        <w:rPr>
          <w:rFonts w:hint="eastAsia" w:ascii="仿宋_GB2312" w:eastAsia="仿宋_GB2312" w:cs="仿宋_GB2312"/>
          <w:b/>
          <w:bCs/>
          <w:sz w:val="32"/>
          <w:szCs w:val="32"/>
        </w:rPr>
        <w:t>九、“三公”经费：</w:t>
      </w:r>
      <w:r>
        <w:rPr>
          <w:rFonts w:hint="eastAsia" w:ascii="仿宋_GB2312" w:hAnsi="宋体" w:eastAsia="仿宋_GB2312" w:cs="仿宋_GB2312"/>
          <w:kern w:val="0"/>
          <w:sz w:val="32"/>
          <w:szCs w:val="32"/>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）因公出国（境）费，指单位工作人员公务出国（境）的住宿费、旅费、伙食补助费、杂费、培训费等支出。（</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）公务接待费，指单位按规定开支的各类公务接待（含外宾接待）支出。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十、机关运行经费：</w:t>
      </w:r>
      <w:r>
        <w:rPr>
          <w:rFonts w:hint="eastAsia" w:ascii="仿宋_GB2312" w:eastAsia="仿宋_GB2312" w:cs="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 w:firstLineChars="200"/>
        <w:jc w:val="left"/>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6FDB52"/>
    <w:multiLevelType w:val="singleLevel"/>
    <w:tmpl w:val="886FDB52"/>
    <w:lvl w:ilvl="0" w:tentative="0">
      <w:start w:val="2"/>
      <w:numFmt w:val="chineseCounting"/>
      <w:suff w:val="space"/>
      <w:lvlText w:val="第%1部分"/>
      <w:lvlJc w:val="left"/>
      <w:rPr>
        <w:rFonts w:hint="eastAsia"/>
      </w:rPr>
    </w:lvl>
  </w:abstractNum>
  <w:abstractNum w:abstractNumId="1">
    <w:nsid w:val="F26E0CF0"/>
    <w:multiLevelType w:val="singleLevel"/>
    <w:tmpl w:val="F26E0CF0"/>
    <w:lvl w:ilvl="0" w:tentative="0">
      <w:start w:val="3"/>
      <w:numFmt w:val="chineseCounting"/>
      <w:suff w:val="space"/>
      <w:lvlText w:val="第%1部分"/>
      <w:lvlJc w:val="left"/>
      <w:rPr>
        <w:rFonts w:hint="eastAsia"/>
      </w:rPr>
    </w:lvl>
  </w:abstractNum>
  <w:abstractNum w:abstractNumId="2">
    <w:nsid w:val="5A5F2250"/>
    <w:multiLevelType w:val="singleLevel"/>
    <w:tmpl w:val="5A5F2250"/>
    <w:lvl w:ilvl="0" w:tentative="0">
      <w:start w:val="1"/>
      <w:numFmt w:val="chineseCounting"/>
      <w:suff w:val="nothing"/>
      <w:lvlText w:val="%1、"/>
      <w:lvlJc w:val="left"/>
    </w:lvl>
  </w:abstractNum>
  <w:abstractNum w:abstractNumId="3">
    <w:nsid w:val="5A5F2384"/>
    <w:multiLevelType w:val="singleLevel"/>
    <w:tmpl w:val="5A5F2384"/>
    <w:lvl w:ilvl="0" w:tentative="0">
      <w:start w:val="1"/>
      <w:numFmt w:val="chineseCounting"/>
      <w:suff w:val="nothing"/>
      <w:lvlText w:val="%1、"/>
      <w:lvlJc w:val="left"/>
    </w:lvl>
  </w:abstractNum>
  <w:abstractNum w:abstractNumId="4">
    <w:nsid w:val="5A5F2A51"/>
    <w:multiLevelType w:val="singleLevel"/>
    <w:tmpl w:val="5A5F2A51"/>
    <w:lvl w:ilvl="0" w:tentative="0">
      <w:start w:val="1"/>
      <w:numFmt w:val="chineseCounting"/>
      <w:suff w:val="nothing"/>
      <w:lvlText w:val="%1、"/>
      <w:lvlJc w:val="left"/>
    </w:lvl>
  </w:abstractNum>
  <w:abstractNum w:abstractNumId="5">
    <w:nsid w:val="5A5F50C1"/>
    <w:multiLevelType w:val="singleLevel"/>
    <w:tmpl w:val="5A5F50C1"/>
    <w:lvl w:ilvl="0" w:tentative="0">
      <w:start w:val="1"/>
      <w:numFmt w:val="chineseCounting"/>
      <w:suff w:val="nothing"/>
      <w:lvlText w:val="%1、"/>
      <w:lvlJc w:val="left"/>
    </w:lvl>
  </w:abstractNum>
  <w:abstractNum w:abstractNumId="6">
    <w:nsid w:val="5A600927"/>
    <w:multiLevelType w:val="singleLevel"/>
    <w:tmpl w:val="5A600927"/>
    <w:lvl w:ilvl="0" w:tentative="0">
      <w:start w:val="1"/>
      <w:numFmt w:val="chineseCounting"/>
      <w:suff w:val="nothing"/>
      <w:lvlText w:val="%1、"/>
      <w:lvlJc w:val="left"/>
    </w:lvl>
  </w:abstractNum>
  <w:num w:numId="1">
    <w:abstractNumId w:val="2"/>
  </w:num>
  <w:num w:numId="2">
    <w:abstractNumId w:val="3"/>
  </w:num>
  <w:num w:numId="3">
    <w:abstractNumId w:val="4"/>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D46AE"/>
    <w:rsid w:val="002031B1"/>
    <w:rsid w:val="00222ADB"/>
    <w:rsid w:val="003428AF"/>
    <w:rsid w:val="003B3149"/>
    <w:rsid w:val="00437F1A"/>
    <w:rsid w:val="00477DC6"/>
    <w:rsid w:val="00492503"/>
    <w:rsid w:val="004C70A1"/>
    <w:rsid w:val="005022EE"/>
    <w:rsid w:val="00515579"/>
    <w:rsid w:val="00660E3B"/>
    <w:rsid w:val="006A7B9A"/>
    <w:rsid w:val="007030EB"/>
    <w:rsid w:val="008F34E6"/>
    <w:rsid w:val="008F37B6"/>
    <w:rsid w:val="00971B56"/>
    <w:rsid w:val="00991306"/>
    <w:rsid w:val="009E6BE3"/>
    <w:rsid w:val="009E71B8"/>
    <w:rsid w:val="00A627B9"/>
    <w:rsid w:val="00A70853"/>
    <w:rsid w:val="00A76713"/>
    <w:rsid w:val="00AF658A"/>
    <w:rsid w:val="00B81025"/>
    <w:rsid w:val="00BA79B4"/>
    <w:rsid w:val="00BB0271"/>
    <w:rsid w:val="00C85692"/>
    <w:rsid w:val="00E06804"/>
    <w:rsid w:val="00E71BE4"/>
    <w:rsid w:val="00EB6B1C"/>
    <w:rsid w:val="00F71F4A"/>
    <w:rsid w:val="00FB5518"/>
    <w:rsid w:val="00FD2319"/>
    <w:rsid w:val="01EE545E"/>
    <w:rsid w:val="081D07C1"/>
    <w:rsid w:val="1B9E4CF9"/>
    <w:rsid w:val="299E20A7"/>
    <w:rsid w:val="2F300128"/>
    <w:rsid w:val="587E5B40"/>
    <w:rsid w:val="658E0CA7"/>
    <w:rsid w:val="6D535020"/>
    <w:rsid w:val="74DA683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7</Pages>
  <Words>310</Words>
  <Characters>1767</Characters>
  <Lines>14</Lines>
  <Paragraphs>4</Paragraphs>
  <TotalTime>16</TotalTime>
  <ScaleCrop>false</ScaleCrop>
  <LinksUpToDate>false</LinksUpToDate>
  <CharactersWithSpaces>2073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2018-05-23T08:00:11Z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