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2016年</w:t>
      </w:r>
    </w:p>
    <w:p>
      <w:pPr>
        <w:jc w:val="center"/>
        <w:rPr>
          <w:rFonts w:hint="eastAsia" w:ascii="方正小标宋简体" w:hAnsi="方正小标宋简体" w:eastAsia="方正小标宋简体" w:cs="方正小标宋简体"/>
          <w:sz w:val="84"/>
          <w:szCs w:val="84"/>
          <w:lang w:val="en-US" w:eastAsia="zh-CN"/>
        </w:rPr>
      </w:pPr>
      <w:r>
        <w:rPr>
          <w:rFonts w:hint="eastAsia" w:ascii="方正小标宋简体" w:hAnsi="方正小标宋简体" w:eastAsia="方正小标宋简体" w:cs="方正小标宋简体"/>
          <w:sz w:val="84"/>
          <w:szCs w:val="84"/>
          <w:lang w:val="en-US" w:eastAsia="zh-CN"/>
        </w:rPr>
        <w:t>蕉岭县农机局预算</w:t>
      </w: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方正小标宋简体" w:hAnsi="方正小标宋简体" w:eastAsia="方正小标宋简体" w:cs="方正小标宋简体"/>
          <w:sz w:val="84"/>
          <w:szCs w:val="84"/>
          <w:lang w:val="en-US" w:eastAsia="zh-CN"/>
        </w:rPr>
      </w:pPr>
    </w:p>
    <w:p>
      <w:pPr>
        <w:jc w:val="center"/>
        <w:rPr>
          <w:rFonts w:hint="eastAsia" w:ascii="黑体" w:hAnsi="黑体" w:eastAsia="黑体" w:cs="黑体"/>
          <w:sz w:val="44"/>
          <w:szCs w:val="44"/>
          <w:lang w:val="en-US" w:eastAsia="zh-CN"/>
        </w:rPr>
      </w:pPr>
      <w:r>
        <w:rPr>
          <w:rFonts w:hint="eastAsia" w:ascii="方正小标宋简体" w:hAnsi="方正小标宋简体" w:eastAsia="方正小标宋简体" w:cs="方正小标宋简体"/>
          <w:sz w:val="84"/>
          <w:szCs w:val="84"/>
          <w:lang w:val="en-US" w:eastAsia="zh-CN"/>
        </w:rPr>
        <w:br w:type="page"/>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目 录</w:t>
      </w:r>
    </w:p>
    <w:p>
      <w:pPr>
        <w:jc w:val="center"/>
        <w:rPr>
          <w:rFonts w:hint="eastAsia" w:ascii="黑体" w:hAnsi="黑体" w:eastAsia="黑体" w:cs="黑体"/>
          <w:sz w:val="44"/>
          <w:szCs w:val="44"/>
          <w:lang w:val="en-US" w:eastAsia="zh-CN"/>
        </w:rPr>
      </w:pP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第一部分  概况</w:t>
      </w:r>
    </w:p>
    <w:p>
      <w:pPr>
        <w:numPr>
          <w:ilvl w:val="0"/>
          <w:numId w:val="1"/>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主要职责</w:t>
      </w:r>
    </w:p>
    <w:p>
      <w:pPr>
        <w:numPr>
          <w:ilvl w:val="0"/>
          <w:numId w:val="1"/>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机构设置</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第二部分  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收支总体情况表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收入总体情况表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支出总体情况表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财政拨款收支总体情况表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一般公共预算支出情况表（按功能分类科目）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一般公共预算基本支出情况表（按支出经济分类科目）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一般公共预算项目支出情况表（按支出经济分类科目）</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一般公共预算安排的行政经费及“三公”经费预算表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政府性基金预算支出情况表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部门预算基本支出预算表</w:t>
      </w:r>
    </w:p>
    <w:p>
      <w:pPr>
        <w:numPr>
          <w:ilvl w:val="0"/>
          <w:numId w:val="2"/>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部门预算项目支出及其他支出预算表</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第三部分  预算情况说明</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第四部分  名词解释</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第一部分  概况</w:t>
      </w:r>
    </w:p>
    <w:p>
      <w:pPr>
        <w:jc w:val="both"/>
        <w:rPr>
          <w:rFonts w:hint="eastAsia" w:ascii="黑体" w:hAnsi="黑体" w:eastAsia="黑体" w:cs="黑体"/>
          <w:sz w:val="44"/>
          <w:szCs w:val="44"/>
          <w:lang w:val="en-US" w:eastAsia="zh-CN"/>
        </w:rPr>
      </w:pPr>
    </w:p>
    <w:p>
      <w:pPr>
        <w:numPr>
          <w:ilvl w:val="0"/>
          <w:numId w:val="3"/>
        </w:numPr>
        <w:ind w:firstLine="64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主要职责</w:t>
      </w:r>
    </w:p>
    <w:p>
      <w:pPr>
        <w:spacing w:line="288" w:lineRule="auto"/>
        <w:ind w:firstLine="643" w:firstLineChars="200"/>
        <w:rPr>
          <w:rFonts w:hint="eastAsia" w:ascii="仿宋_GB2312" w:eastAsia="仿宋_GB2312"/>
          <w:b/>
          <w:sz w:val="32"/>
          <w:szCs w:val="32"/>
          <w:lang w:eastAsia="zh-CN"/>
        </w:rPr>
      </w:pPr>
      <w:r>
        <w:rPr>
          <w:rFonts w:hint="eastAsia" w:ascii="仿宋_GB2312" w:eastAsia="仿宋_GB2312"/>
          <w:b/>
          <w:sz w:val="32"/>
          <w:szCs w:val="32"/>
        </w:rPr>
        <w:t>（一）主要</w:t>
      </w:r>
      <w:r>
        <w:rPr>
          <w:rFonts w:hint="eastAsia" w:ascii="仿宋_GB2312" w:eastAsia="仿宋_GB2312"/>
          <w:b/>
          <w:sz w:val="32"/>
          <w:szCs w:val="32"/>
          <w:lang w:eastAsia="zh-CN"/>
        </w:rPr>
        <w:t>职责</w:t>
      </w:r>
    </w:p>
    <w:p>
      <w:pPr>
        <w:spacing w:line="288"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rPr>
        <w:t>根据</w:t>
      </w:r>
      <w:r>
        <w:rPr>
          <w:rFonts w:hint="eastAsia" w:ascii="仿宋_GB2312" w:eastAsia="仿宋_GB2312"/>
          <w:sz w:val="32"/>
          <w:szCs w:val="32"/>
          <w:lang w:eastAsia="zh-CN"/>
        </w:rPr>
        <w:t>文件精神，我局办公室分为</w:t>
      </w:r>
      <w:r>
        <w:rPr>
          <w:rFonts w:hint="eastAsia" w:ascii="仿宋_GB2312" w:eastAsia="仿宋_GB2312"/>
          <w:sz w:val="32"/>
          <w:szCs w:val="32"/>
          <w:lang w:val="en-US" w:eastAsia="zh-CN"/>
        </w:rPr>
        <w:t>3个综合性办公室。</w:t>
      </w:r>
    </w:p>
    <w:p>
      <w:pPr>
        <w:spacing w:line="288"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办公室：负责党委人大、政府日常事务，协调各综合性办公室内之间的关系；承担工会、共青团和妇联等的日常工作。</w:t>
      </w:r>
    </w:p>
    <w:p>
      <w:pPr>
        <w:spacing w:line="288"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农机管理股：负责农机管理，农机购置补贴，农机田间管理，农机具推广，农机新技术推介。</w:t>
      </w:r>
    </w:p>
    <w:p>
      <w:pPr>
        <w:spacing w:line="288"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农机监理股：负责农机安全管理，拖拉机号牌的发放，拖拉机加强员培训上岗发证管理。</w:t>
      </w:r>
    </w:p>
    <w:p>
      <w:pPr>
        <w:numPr>
          <w:ilvl w:val="0"/>
          <w:numId w:val="4"/>
        </w:numPr>
        <w:spacing w:line="288"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人员构成情况</w:t>
      </w:r>
    </w:p>
    <w:p>
      <w:pPr>
        <w:numPr>
          <w:ilvl w:val="0"/>
          <w:numId w:val="0"/>
        </w:numPr>
        <w:spacing w:line="288" w:lineRule="auto"/>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实有在职人员9人。事业编制机构有农机化技术推广培训中心，实有职员3人。</w:t>
      </w:r>
    </w:p>
    <w:p>
      <w:pPr>
        <w:numPr>
          <w:ilvl w:val="0"/>
          <w:numId w:val="4"/>
        </w:numPr>
        <w:spacing w:line="288"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预算年度的主要工作任务</w:t>
      </w:r>
    </w:p>
    <w:p>
      <w:pPr>
        <w:spacing w:line="288" w:lineRule="auto"/>
        <w:ind w:firstLine="640" w:firstLineChars="200"/>
        <w:rPr>
          <w:rFonts w:hint="eastAsia" w:ascii="仿宋_GB2312" w:eastAsia="仿宋_GB2312"/>
          <w:b/>
          <w:sz w:val="32"/>
          <w:szCs w:val="32"/>
          <w:lang w:eastAsia="zh-CN"/>
        </w:rPr>
      </w:pPr>
      <w:r>
        <w:rPr>
          <w:rFonts w:hint="eastAsia" w:ascii="仿宋_GB2312" w:eastAsia="仿宋_GB2312"/>
          <w:sz w:val="32"/>
          <w:szCs w:val="32"/>
          <w:lang w:val="en-US" w:eastAsia="zh-CN"/>
        </w:rPr>
        <w:t xml:space="preserve">    贯彻落实党的</w:t>
      </w:r>
      <w:r>
        <w:rPr>
          <w:rFonts w:eastAsia="仿宋_GB2312"/>
          <w:sz w:val="32"/>
          <w:szCs w:val="32"/>
        </w:rPr>
        <w:t>中央经济工作会议精神和习近平总书记系列重要讲话精神以及全国财政工作会议精神，按照省委的部署，</w:t>
      </w:r>
      <w:r>
        <w:rPr>
          <w:rFonts w:hint="eastAsia" w:eastAsia="仿宋_GB2312"/>
          <w:sz w:val="32"/>
          <w:szCs w:val="32"/>
          <w:lang w:eastAsia="zh-CN"/>
        </w:rPr>
        <w:t>更好地发挥农机田间的作用，继续推广农业机械在田间的尖用，为农民增收，促进经济平衡健康发展和社会和谐稳定作出贡献。</w:t>
      </w:r>
    </w:p>
    <w:p>
      <w:pPr>
        <w:numPr>
          <w:ilvl w:val="0"/>
          <w:numId w:val="0"/>
        </w:numPr>
        <w:ind w:firstLine="640"/>
        <w:jc w:val="both"/>
        <w:rPr>
          <w:rFonts w:hint="eastAsia" w:ascii="仿宋_GB2312" w:hAnsi="仿宋_GB2312" w:eastAsia="仿宋_GB2312" w:cs="仿宋_GB2312"/>
          <w:sz w:val="32"/>
          <w:szCs w:val="32"/>
          <w:lang w:val="en-US" w:eastAsia="zh-CN"/>
        </w:rPr>
      </w:pPr>
    </w:p>
    <w:p>
      <w:pPr>
        <w:numPr>
          <w:ilvl w:val="0"/>
          <w:numId w:val="0"/>
        </w:numPr>
        <w:ind w:firstLine="640"/>
        <w:jc w:val="both"/>
        <w:rPr>
          <w:rFonts w:hint="eastAsia" w:ascii="仿宋_GB2312" w:hAnsi="仿宋_GB2312" w:eastAsia="仿宋_GB2312" w:cs="仿宋_GB2312"/>
          <w:sz w:val="32"/>
          <w:szCs w:val="32"/>
          <w:lang w:val="en-US" w:eastAsia="zh-CN"/>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第二部分  2016年预算表</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第三部分  2016年部门预算情况说明</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部门预算收支增减变化情况</w:t>
      </w:r>
    </w:p>
    <w:p>
      <w:pPr>
        <w:numPr>
          <w:ilvl w:val="0"/>
          <w:numId w:val="0"/>
        </w:numPr>
        <w:ind w:firstLine="640"/>
        <w:jc w:val="both"/>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2016年本部门收入预算213万元，比上年增加76万元，增长52%，主要原因是增加了人员工资、离退休人员工资福利支出；支出预算213万元，比上年增加76万元，增长52%，主要原因是主要原因是增加了人员工资、离退休人员工资福利支出。</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“三公”经费安排情况说明</w:t>
      </w:r>
    </w:p>
    <w:p>
      <w:pPr>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年本部门“三公”经费预算安排1.8万元，与上年一样，其中公务用运行费1.5万元，公务接待费0.3万元，与上年一样。</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机关运行经费安排情况</w:t>
      </w:r>
    </w:p>
    <w:p>
      <w:pPr>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2016年，本部门机关运行经费安排7万元，其中：办公费5万元，差旅费1.5万元公务用车运行维护费1.5万元。</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政府采购情况</w:t>
      </w:r>
    </w:p>
    <w:p>
      <w:pPr>
        <w:widowControl w:val="0"/>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2016年本部门政府采购无安排。</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国有资产占有使用情况</w:t>
      </w:r>
    </w:p>
    <w:p>
      <w:pPr>
        <w:numPr>
          <w:ilvl w:val="0"/>
          <w:numId w:val="0"/>
        </w:numPr>
        <w:ind w:firstLine="640"/>
        <w:jc w:val="both"/>
        <w:rPr>
          <w:rFonts w:hint="eastAsia" w:ascii="楷体_GB2312" w:hAnsi="楷体_GB2312" w:eastAsia="楷体_GB2312" w:cs="楷体_GB2312"/>
          <w:b w:val="0"/>
          <w:bCs w:val="0"/>
          <w:sz w:val="32"/>
          <w:szCs w:val="32"/>
          <w:highlight w:val="lightGray"/>
          <w:lang w:val="en-US" w:eastAsia="zh-CN"/>
        </w:rPr>
      </w:pPr>
      <w:r>
        <w:rPr>
          <w:rFonts w:hint="eastAsia" w:ascii="仿宋_GB2312" w:hAnsi="仿宋_GB2312" w:eastAsia="仿宋_GB2312" w:cs="仿宋_GB2312"/>
          <w:sz w:val="32"/>
          <w:szCs w:val="32"/>
          <w:lang w:val="en-US" w:eastAsia="zh-CN"/>
        </w:rPr>
        <w:t>截至2016年12月31日，本部门占有使用国有资产总体情况为：帐面原值为128万元，比去年增加8万元，增加的是农机事业处理设备（省拨）。</w:t>
      </w:r>
    </w:p>
    <w:p>
      <w:pPr>
        <w:numPr>
          <w:ilvl w:val="0"/>
          <w:numId w:val="5"/>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预算绩效信息公开情况</w:t>
      </w:r>
    </w:p>
    <w:p>
      <w:pPr>
        <w:numPr>
          <w:ilvl w:val="0"/>
          <w:numId w:val="0"/>
        </w:numPr>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2016年，本部门将预算在第一时间对预算数据在局公布墙上进行了信息公开。</w:t>
      </w:r>
    </w:p>
    <w:p>
      <w:pPr>
        <w:numPr>
          <w:ilvl w:val="0"/>
          <w:numId w:val="0"/>
        </w:numPr>
        <w:ind w:firstLine="640"/>
        <w:jc w:val="both"/>
        <w:rPr>
          <w:rFonts w:hint="eastAsia" w:ascii="仿宋_GB2312" w:hAnsi="仿宋_GB2312" w:eastAsia="仿宋_GB2312" w:cs="仿宋_GB2312"/>
          <w:sz w:val="32"/>
          <w:szCs w:val="32"/>
          <w:lang w:val="en-US" w:eastAsia="zh-CN"/>
        </w:rPr>
      </w:pPr>
    </w:p>
    <w:p>
      <w:pPr>
        <w:jc w:val="center"/>
        <w:rPr>
          <w:rFonts w:hint="eastAsia" w:ascii="方正小标宋简体" w:hAnsi="方正小标宋简体" w:eastAsia="方正小标宋简体" w:cs="方正小标宋简体"/>
          <w:sz w:val="44"/>
          <w:szCs w:val="44"/>
          <w:lang w:val="en-US" w:eastAsia="zh-CN"/>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pPr>
        <w:jc w:val="center"/>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第四部分  名词解释</w:t>
      </w:r>
    </w:p>
    <w:p>
      <w:pPr>
        <w:spacing w:line="288" w:lineRule="auto"/>
        <w:ind w:firstLine="627" w:firstLineChars="196"/>
        <w:rPr>
          <w:rFonts w:ascii="仿宋_GB2312" w:eastAsia="仿宋_GB2312"/>
          <w:b/>
          <w:sz w:val="32"/>
          <w:szCs w:val="32"/>
        </w:rPr>
      </w:pPr>
      <w:r>
        <w:rPr>
          <w:rFonts w:hint="eastAsia" w:ascii="仿宋_GB2312" w:eastAsia="仿宋_GB2312"/>
          <w:sz w:val="32"/>
          <w:szCs w:val="32"/>
        </w:rPr>
        <w:t>为便于社会公众的理解，各部门需对公开内容中涉及的专业名词进行解释，</w:t>
      </w:r>
    </w:p>
    <w:p>
      <w:pPr>
        <w:numPr>
          <w:ilvl w:val="0"/>
          <w:numId w:val="6"/>
        </w:numPr>
        <w:spacing w:line="288" w:lineRule="auto"/>
        <w:ind w:firstLine="630" w:firstLineChars="196"/>
        <w:rPr>
          <w:rFonts w:hint="eastAsia"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hint="eastAsia" w:ascii="仿宋_GB2312" w:hAnsi="仿宋_GB2312" w:eastAsia="仿宋_GB2312" w:cs="仿宋_GB2312"/>
          <w:sz w:val="32"/>
          <w:szCs w:val="32"/>
          <w:highlight w:val="none"/>
          <w:lang w:val="en-US" w:eastAsia="zh-CN"/>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35DD2"/>
    <w:multiLevelType w:val="singleLevel"/>
    <w:tmpl w:val="57635DD2"/>
    <w:lvl w:ilvl="0" w:tentative="0">
      <w:start w:val="2"/>
      <w:numFmt w:val="chineseCounting"/>
      <w:suff w:val="nothing"/>
      <w:lvlText w:val="（%1）"/>
      <w:lvlJc w:val="left"/>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2A51"/>
    <w:multiLevelType w:val="singleLevel"/>
    <w:tmpl w:val="5A5F2A51"/>
    <w:lvl w:ilvl="0" w:tentative="0">
      <w:start w:val="1"/>
      <w:numFmt w:val="chineseCounting"/>
      <w:suff w:val="nothing"/>
      <w:lvlText w:val="%1、"/>
      <w:lvlJc w:val="left"/>
    </w:lvl>
  </w:abstractNum>
  <w:abstractNum w:abstractNumId="4">
    <w:nsid w:val="5A5F50C1"/>
    <w:multiLevelType w:val="singleLevel"/>
    <w:tmpl w:val="5A5F50C1"/>
    <w:lvl w:ilvl="0" w:tentative="0">
      <w:start w:val="1"/>
      <w:numFmt w:val="chineseCounting"/>
      <w:suff w:val="nothing"/>
      <w:lvlText w:val="%1、"/>
      <w:lvlJc w:val="left"/>
    </w:lvl>
  </w:abstractNum>
  <w:abstractNum w:abstractNumId="5">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81D07C1"/>
    <w:rsid w:val="1BDD3E32"/>
    <w:rsid w:val="26DC73D2"/>
    <w:rsid w:val="2F300128"/>
    <w:rsid w:val="42B27279"/>
    <w:rsid w:val="42EE19E6"/>
    <w:rsid w:val="42F9172D"/>
    <w:rsid w:val="63C970C2"/>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2018-05-03T08:21:00Z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