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Times New Roman"/>
          <w:sz w:val="84"/>
          <w:szCs w:val="84"/>
        </w:rPr>
      </w:pPr>
    </w:p>
    <w:p>
      <w:pPr>
        <w:jc w:val="center"/>
        <w:rPr>
          <w:rFonts w:ascii="方正小标宋简体" w:hAnsi="方正小标宋简体" w:eastAsia="方正小标宋简体" w:cs="Times New Roman"/>
          <w:sz w:val="84"/>
          <w:szCs w:val="84"/>
        </w:rPr>
      </w:pPr>
    </w:p>
    <w:p>
      <w:pPr>
        <w:jc w:val="center"/>
        <w:rPr>
          <w:rFonts w:ascii="方正小标宋简体" w:hAnsi="方正小标宋简体" w:eastAsia="方正小标宋简体" w:cs="Times New Roman"/>
          <w:sz w:val="84"/>
          <w:szCs w:val="84"/>
        </w:rPr>
      </w:pPr>
      <w:r>
        <w:rPr>
          <w:rFonts w:ascii="方正小标宋简体" w:hAnsi="方正小标宋简体" w:eastAsia="方正小标宋简体" w:cs="方正小标宋简体"/>
          <w:sz w:val="84"/>
          <w:szCs w:val="84"/>
        </w:rPr>
        <w:t>2016</w:t>
      </w:r>
      <w:r>
        <w:rPr>
          <w:rFonts w:hint="eastAsia" w:ascii="方正小标宋简体" w:hAnsi="方正小标宋简体" w:eastAsia="方正小标宋简体" w:cs="方正小标宋简体"/>
          <w:sz w:val="84"/>
          <w:szCs w:val="84"/>
        </w:rPr>
        <w:t>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蕉岭县蓝坊中学</w:t>
      </w:r>
    </w:p>
    <w:p>
      <w:pPr>
        <w:jc w:val="center"/>
        <w:rPr>
          <w:rFonts w:ascii="方正小标宋简体" w:hAnsi="方正小标宋简体" w:eastAsia="方正小标宋简体" w:cs="Times New Roman"/>
          <w:sz w:val="84"/>
          <w:szCs w:val="84"/>
        </w:rPr>
      </w:pPr>
      <w:r>
        <w:rPr>
          <w:rFonts w:hint="eastAsia" w:ascii="方正小标宋简体" w:hAnsi="方正小标宋简体" w:eastAsia="方正小标宋简体" w:cs="方正小标宋简体"/>
          <w:sz w:val="84"/>
          <w:szCs w:val="84"/>
        </w:rPr>
        <w:t>部门预算</w:t>
      </w:r>
    </w:p>
    <w:p>
      <w:pPr>
        <w:jc w:val="center"/>
        <w:rPr>
          <w:rFonts w:ascii="方正小标宋简体" w:hAnsi="方正小标宋简体" w:eastAsia="方正小标宋简体" w:cs="Times New Roman"/>
          <w:sz w:val="84"/>
          <w:szCs w:val="84"/>
        </w:rPr>
      </w:pPr>
    </w:p>
    <w:p>
      <w:pPr>
        <w:jc w:val="center"/>
        <w:rPr>
          <w:rFonts w:ascii="方正小标宋简体" w:hAnsi="方正小标宋简体" w:eastAsia="方正小标宋简体" w:cs="Times New Roman"/>
          <w:sz w:val="84"/>
          <w:szCs w:val="84"/>
        </w:rPr>
      </w:pPr>
    </w:p>
    <w:p>
      <w:pPr>
        <w:jc w:val="center"/>
        <w:rPr>
          <w:rFonts w:ascii="黑体" w:hAnsi="黑体" w:eastAsia="黑体" w:cs="Times New Roman"/>
          <w:sz w:val="44"/>
          <w:szCs w:val="44"/>
        </w:rPr>
      </w:pPr>
      <w:r>
        <w:rPr>
          <w:rFonts w:ascii="方正小标宋简体" w:hAnsi="方正小标宋简体" w:eastAsia="方正小标宋简体" w:cs="Times New Roman"/>
          <w:sz w:val="84"/>
          <w:szCs w:val="84"/>
        </w:rPr>
        <w:br w:type="page"/>
      </w: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录</w:t>
      </w:r>
    </w:p>
    <w:p>
      <w:pPr>
        <w:jc w:val="center"/>
        <w:rPr>
          <w:rFonts w:ascii="黑体" w:hAnsi="黑体" w:eastAsia="黑体" w:cs="Times New Roman"/>
          <w:sz w:val="44"/>
          <w:szCs w:val="44"/>
        </w:rPr>
      </w:pPr>
    </w:p>
    <w:p>
      <w:pPr>
        <w:ind w:firstLine="640" w:firstLineChars="200"/>
        <w:rPr>
          <w:rFonts w:ascii="黑体" w:hAnsi="黑体" w:eastAsia="黑体" w:cs="Times New Roman"/>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蕉岭县蓝坊中学概况</w:t>
      </w:r>
    </w:p>
    <w:p>
      <w:pPr>
        <w:numPr>
          <w:ilvl w:val="0"/>
          <w:numId w:val="1"/>
        </w:num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2016</w:t>
      </w:r>
      <w:r>
        <w:rPr>
          <w:rFonts w:hint="eastAsia" w:ascii="黑体" w:hAnsi="黑体" w:eastAsia="黑体" w:cs="黑体"/>
          <w:sz w:val="32"/>
          <w:szCs w:val="32"/>
        </w:rPr>
        <w:t>年部门预算表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Times New Roman"/>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Times New Roman"/>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2016</w:t>
      </w:r>
      <w:r>
        <w:rPr>
          <w:rFonts w:hint="eastAsia" w:ascii="黑体" w:hAnsi="黑体" w:eastAsia="黑体" w:cs="黑体"/>
          <w:sz w:val="32"/>
          <w:szCs w:val="32"/>
        </w:rPr>
        <w:t>年部门预算情况说明</w:t>
      </w:r>
    </w:p>
    <w:p>
      <w:pPr>
        <w:ind w:firstLine="640" w:firstLineChars="200"/>
        <w:rPr>
          <w:rFonts w:ascii="黑体" w:hAnsi="黑体" w:eastAsia="黑体" w:cs="Times New Roman"/>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名词解释</w:t>
      </w:r>
    </w:p>
    <w:p>
      <w:pPr>
        <w:ind w:firstLine="640" w:firstLineChars="200"/>
        <w:rPr>
          <w:rFonts w:ascii="黑体" w:hAnsi="黑体" w:eastAsia="黑体" w:cs="Times New Roman"/>
          <w:sz w:val="32"/>
          <w:szCs w:val="32"/>
        </w:rPr>
      </w:pP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第一部分</w:t>
      </w:r>
      <w:r>
        <w:rPr>
          <w:rFonts w:ascii="方正小标宋简体" w:hAnsi="方正小标宋简体" w:eastAsia="方正小标宋简体" w:cs="方正小标宋简体"/>
          <w:sz w:val="44"/>
          <w:szCs w:val="44"/>
        </w:rPr>
        <w:t xml:space="preserve">  </w:t>
      </w:r>
      <w:r>
        <w:rPr>
          <w:rFonts w:hint="eastAsia" w:ascii="黑体" w:hAnsi="黑体" w:eastAsia="黑体" w:cs="黑体"/>
          <w:sz w:val="48"/>
          <w:szCs w:val="48"/>
        </w:rPr>
        <w:t>蕉岭县蓝坊中学</w:t>
      </w:r>
      <w:r>
        <w:rPr>
          <w:rFonts w:hint="eastAsia" w:ascii="方正小标宋简体" w:hAnsi="方正小标宋简体" w:eastAsia="方正小标宋简体" w:cs="方正小标宋简体"/>
          <w:sz w:val="48"/>
          <w:szCs w:val="48"/>
        </w:rPr>
        <w:t>概况</w:t>
      </w:r>
    </w:p>
    <w:p>
      <w:pPr>
        <w:rPr>
          <w:rFonts w:ascii="黑体" w:hAnsi="黑体" w:eastAsia="黑体" w:cs="Times New Roman"/>
          <w:sz w:val="44"/>
          <w:szCs w:val="44"/>
        </w:rPr>
      </w:pPr>
    </w:p>
    <w:p>
      <w:pPr>
        <w:numPr>
          <w:ilvl w:val="0"/>
          <w:numId w:val="3"/>
        </w:numPr>
        <w:ind w:firstLine="640"/>
        <w:rPr>
          <w:rFonts w:ascii="仿宋_GB2312" w:eastAsia="仿宋_GB2312" w:cs="Times New Roman"/>
          <w:b/>
          <w:bCs/>
          <w:sz w:val="32"/>
          <w:szCs w:val="32"/>
        </w:rPr>
      </w:pPr>
      <w:r>
        <w:rPr>
          <w:rFonts w:hint="eastAsia" w:ascii="黑体" w:hAnsi="黑体" w:eastAsia="黑体" w:cs="黑体"/>
          <w:sz w:val="32"/>
          <w:szCs w:val="32"/>
        </w:rPr>
        <w:t>主要职责</w:t>
      </w:r>
    </w:p>
    <w:p>
      <w:pPr>
        <w:ind w:firstLine="640" w:firstLineChars="200"/>
        <w:rPr>
          <w:rFonts w:ascii="仿宋_GB2312" w:eastAsia="仿宋_GB2312" w:cs="Times New Roman"/>
          <w:b/>
          <w:bCs/>
          <w:sz w:val="32"/>
          <w:szCs w:val="32"/>
        </w:rPr>
      </w:pPr>
      <w:r>
        <w:rPr>
          <w:rFonts w:hint="eastAsia" w:ascii="仿宋_GB2312" w:eastAsia="仿宋_GB2312" w:cs="仿宋_GB2312"/>
          <w:sz w:val="32"/>
          <w:szCs w:val="32"/>
        </w:rPr>
        <w:t>蕉岭县蓝坊中学是由蕉岭县教育局举办的一间中学，主要职能：承担中学教育。</w:t>
      </w:r>
    </w:p>
    <w:p>
      <w:pPr>
        <w:rPr>
          <w:rFonts w:ascii="仿宋_GB2312" w:hAnsi="仿宋_GB2312" w:eastAsia="仿宋_GB2312" w:cs="Times New Roman"/>
          <w:sz w:val="32"/>
          <w:szCs w:val="32"/>
        </w:rPr>
      </w:pPr>
    </w:p>
    <w:p>
      <w:pPr>
        <w:rPr>
          <w:rFonts w:ascii="黑体" w:hAnsi="黑体" w:eastAsia="黑体" w:cs="Times New Roman"/>
          <w:sz w:val="32"/>
          <w:szCs w:val="32"/>
        </w:rPr>
      </w:pPr>
      <w:r>
        <w:rPr>
          <w:rFonts w:ascii="黑体" w:hAnsi="黑体" w:eastAsia="黑体" w:cs="黑体"/>
          <w:sz w:val="32"/>
          <w:szCs w:val="32"/>
        </w:rPr>
        <w:t xml:space="preserve">    </w:t>
      </w:r>
      <w:r>
        <w:rPr>
          <w:rFonts w:hint="eastAsia" w:ascii="黑体" w:hAnsi="黑体" w:eastAsia="黑体" w:cs="黑体"/>
          <w:sz w:val="32"/>
          <w:szCs w:val="32"/>
        </w:rPr>
        <w:t>二、机构设置</w:t>
      </w:r>
    </w:p>
    <w:p>
      <w:pPr>
        <w:ind w:firstLine="640" w:firstLineChars="200"/>
        <w:rPr>
          <w:rFonts w:ascii="仿宋_GB2312" w:hAnsi="仿宋_GB2312" w:eastAsia="仿宋_GB2312" w:cs="Times New Roman"/>
          <w:sz w:val="32"/>
          <w:szCs w:val="32"/>
        </w:rPr>
      </w:pPr>
      <w:r>
        <w:rPr>
          <w:rFonts w:hint="eastAsia" w:ascii="仿宋_GB2312" w:hAnsi="仿宋_GB2312" w:eastAsia="仿宋_GB2312" w:cs="仿宋_GB2312"/>
          <w:sz w:val="32"/>
          <w:szCs w:val="32"/>
        </w:rPr>
        <w:t>（一）本部门预算无下属单位，部门预算为本级预算。</w:t>
      </w:r>
    </w:p>
    <w:p>
      <w:pPr>
        <w:spacing w:line="288" w:lineRule="auto"/>
        <w:ind w:firstLine="640" w:firstLineChars="200"/>
        <w:rPr>
          <w:rFonts w:ascii="仿宋_GB2312" w:eastAsia="仿宋_GB2312" w:cs="Times New Roman"/>
          <w:sz w:val="32"/>
          <w:szCs w:val="32"/>
        </w:rPr>
      </w:pPr>
      <w:r>
        <w:rPr>
          <w:rFonts w:hint="eastAsia" w:ascii="仿宋_GB2312" w:hAnsi="仿宋_GB2312" w:eastAsia="仿宋_GB2312" w:cs="仿宋_GB2312"/>
          <w:sz w:val="32"/>
          <w:szCs w:val="32"/>
        </w:rPr>
        <w:t>（二）本部门内设机构：</w:t>
      </w:r>
      <w:r>
        <w:rPr>
          <w:rFonts w:hint="eastAsia" w:ascii="仿宋_GB2312" w:eastAsia="仿宋_GB2312" w:cs="仿宋_GB2312"/>
          <w:sz w:val="32"/>
          <w:szCs w:val="32"/>
        </w:rPr>
        <w:t>根据蕉委发</w:t>
      </w:r>
      <w:r>
        <w:rPr>
          <w:rFonts w:ascii="仿宋_GB2312" w:eastAsia="仿宋_GB2312" w:cs="仿宋_GB2312"/>
          <w:sz w:val="32"/>
          <w:szCs w:val="32"/>
        </w:rPr>
        <w:t>[2007]7</w:t>
      </w:r>
      <w:r>
        <w:rPr>
          <w:rFonts w:hint="eastAsia" w:ascii="仿宋_GB2312" w:eastAsia="仿宋_GB2312" w:cs="仿宋_GB2312"/>
          <w:sz w:val="32"/>
          <w:szCs w:val="32"/>
        </w:rPr>
        <w:t>号文件精神，蓝坊中学为一级预算单位，无所属二级预算单位，内设有教务处、政教处、团委、总务处。各部门互相协调，为教育教学服务。</w:t>
      </w:r>
    </w:p>
    <w:p>
      <w:pPr>
        <w:spacing w:line="288" w:lineRule="auto"/>
        <w:ind w:firstLine="640" w:firstLineChars="200"/>
        <w:rPr>
          <w:rFonts w:hint="eastAsia" w:ascii="仿宋_GB2312" w:eastAsia="仿宋_GB2312"/>
          <w:sz w:val="32"/>
          <w:szCs w:val="32"/>
        </w:rPr>
      </w:pPr>
      <w:r>
        <w:rPr>
          <w:rFonts w:hint="eastAsia" w:ascii="仿宋_GB2312" w:hAnsi="仿宋_GB2312" w:eastAsia="仿宋_GB2312" w:cs="仿宋_GB2312"/>
          <w:sz w:val="32"/>
          <w:szCs w:val="32"/>
        </w:rPr>
        <w:t>人员构成情况：</w:t>
      </w:r>
      <w:r>
        <w:rPr>
          <w:rFonts w:hint="eastAsia" w:ascii="宋体" w:hAnsi="宋体" w:cs="宋体"/>
          <w:sz w:val="30"/>
          <w:szCs w:val="30"/>
        </w:rPr>
        <w:t>蓝坊中学</w:t>
      </w:r>
      <w:r>
        <w:rPr>
          <w:rFonts w:hint="eastAsia" w:ascii="仿宋_GB2312" w:eastAsia="仿宋_GB2312"/>
          <w:sz w:val="32"/>
          <w:szCs w:val="32"/>
        </w:rPr>
        <w:t>共有编制25人，实有在职人员31人、退休人员13人。</w:t>
      </w:r>
    </w:p>
    <w:p>
      <w:pPr>
        <w:spacing w:line="288" w:lineRule="auto"/>
        <w:ind w:firstLine="640" w:firstLineChars="200"/>
        <w:rPr>
          <w:rFonts w:ascii="仿宋_GB2312" w:eastAsia="仿宋_GB2312" w:cs="Times New Roman"/>
          <w:sz w:val="32"/>
          <w:szCs w:val="32"/>
        </w:rPr>
      </w:pPr>
    </w:p>
    <w:p>
      <w:pPr>
        <w:rPr>
          <w:rFonts w:ascii="黑体" w:hAnsi="黑体" w:eastAsia="黑体" w:cs="Times New Roman"/>
          <w:sz w:val="44"/>
          <w:szCs w:val="44"/>
        </w:rPr>
        <w:sectPr>
          <w:pgSz w:w="11906" w:h="16838"/>
          <w:pgMar w:top="1440" w:right="1466" w:bottom="1440" w:left="1800" w:header="851" w:footer="992" w:gutter="0"/>
          <w:cols w:space="425" w:num="1"/>
          <w:docGrid w:type="lines" w:linePitch="312" w:charSpace="0"/>
        </w:sectPr>
      </w:pP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第二部分</w:t>
      </w:r>
      <w:r>
        <w:rPr>
          <w:rFonts w:ascii="方正小标宋简体" w:hAnsi="方正小标宋简体" w:eastAsia="方正小标宋简体" w:cs="方正小标宋简体"/>
          <w:sz w:val="44"/>
          <w:szCs w:val="44"/>
        </w:rPr>
        <w:t xml:space="preserve">  2016</w:t>
      </w:r>
      <w:r>
        <w:rPr>
          <w:rFonts w:hint="eastAsia" w:ascii="方正小标宋简体" w:hAnsi="方正小标宋简体" w:eastAsia="方正小标宋简体" w:cs="方正小标宋简体"/>
          <w:sz w:val="44"/>
          <w:szCs w:val="44"/>
        </w:rPr>
        <w:t>年部门预算表（详见2016年部门预算公开表）</w:t>
      </w:r>
    </w:p>
    <w:p>
      <w:pPr>
        <w:rPr>
          <w:rFonts w:cs="Times New Roman"/>
        </w:rPr>
      </w:pPr>
    </w:p>
    <w:p>
      <w:pPr>
        <w:rPr>
          <w:rFonts w:cs="Times New Roman"/>
        </w:rPr>
      </w:pPr>
    </w:p>
    <w:p>
      <w:pPr>
        <w:rPr>
          <w:rFonts w:cs="Times New Roman"/>
        </w:rPr>
      </w:pPr>
      <w:r>
        <w:rPr>
          <w:rFonts w:hint="eastAsia" w:ascii="方正小标宋简体" w:hAnsi="方正小标宋简体" w:eastAsia="方正小标宋简体" w:cs="方正小标宋简体"/>
          <w:sz w:val="44"/>
          <w:szCs w:val="44"/>
        </w:rPr>
        <w:br w:type="page"/>
      </w:r>
      <w:bookmarkStart w:id="0" w:name="_GoBack"/>
      <w:bookmarkEnd w:id="0"/>
      <w:r>
        <w:rPr>
          <w:rFonts w:hint="eastAsia" w:ascii="方正小标宋简体" w:hAnsi="方正小标宋简体" w:eastAsia="方正小标宋简体" w:cs="方正小标宋简体"/>
          <w:sz w:val="44"/>
          <w:szCs w:val="44"/>
        </w:rPr>
        <w:t>第三部分</w:t>
      </w:r>
      <w:r>
        <w:rPr>
          <w:rFonts w:ascii="方正小标宋简体" w:hAnsi="方正小标宋简体" w:eastAsia="方正小标宋简体" w:cs="方正小标宋简体"/>
          <w:sz w:val="44"/>
          <w:szCs w:val="44"/>
        </w:rPr>
        <w:t xml:space="preserve">  2016</w:t>
      </w:r>
      <w:r>
        <w:rPr>
          <w:rFonts w:hint="eastAsia" w:ascii="方正小标宋简体" w:hAnsi="方正小标宋简体" w:eastAsia="方正小标宋简体" w:cs="方正小标宋简体"/>
          <w:sz w:val="44"/>
          <w:szCs w:val="44"/>
        </w:rPr>
        <w:t>年部门预算情况说明</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部门预算收支增减变化情况</w:t>
      </w:r>
    </w:p>
    <w:p>
      <w:pPr>
        <w:ind w:firstLine="640"/>
        <w:rPr>
          <w:rFonts w:ascii="黑体" w:hAnsi="黑体" w:eastAsia="黑体" w:cs="Times New Roman"/>
          <w:sz w:val="32"/>
          <w:szCs w:val="32"/>
        </w:rPr>
      </w:pPr>
      <w:r>
        <w:rPr>
          <w:rFonts w:ascii="仿宋_GB2312" w:hAnsi="仿宋_GB2312" w:eastAsia="仿宋_GB2312" w:cs="仿宋_GB2312"/>
          <w:sz w:val="32"/>
          <w:szCs w:val="32"/>
        </w:rPr>
        <w:t>201</w:t>
      </w:r>
      <w:r>
        <w:rPr>
          <w:rFonts w:hint="eastAsia" w:ascii="仿宋_GB2312" w:hAnsi="仿宋_GB2312" w:eastAsia="仿宋_GB2312" w:cs="仿宋_GB2312"/>
          <w:sz w:val="32"/>
          <w:szCs w:val="32"/>
        </w:rPr>
        <w:t>6年本部门收入预算</w:t>
      </w:r>
      <w:r>
        <w:rPr>
          <w:rFonts w:hint="eastAsia" w:ascii="宋体" w:hAnsi="宋体"/>
          <w:sz w:val="32"/>
          <w:szCs w:val="32"/>
        </w:rPr>
        <w:t>345.95</w:t>
      </w:r>
      <w:r>
        <w:rPr>
          <w:rFonts w:hint="eastAsia" w:ascii="仿宋_GB2312" w:hAnsi="仿宋_GB2312" w:eastAsia="仿宋_GB2312" w:cs="仿宋_GB2312"/>
          <w:sz w:val="32"/>
          <w:szCs w:val="32"/>
        </w:rPr>
        <w:t>万元，比上年</w:t>
      </w:r>
      <w:r>
        <w:rPr>
          <w:rFonts w:hint="eastAsia" w:ascii="宋体" w:hAnsi="宋体" w:eastAsia="仿宋_GB2312" w:cs="宋体"/>
          <w:sz w:val="32"/>
          <w:szCs w:val="32"/>
        </w:rPr>
        <w:t>226.55</w:t>
      </w:r>
      <w:r>
        <w:rPr>
          <w:rFonts w:hint="eastAsia" w:ascii="宋体" w:hAnsi="宋体" w:eastAsia="仿宋_GB2312" w:cs="仿宋_GB2312"/>
          <w:sz w:val="32"/>
          <w:szCs w:val="32"/>
        </w:rPr>
        <w:t>万元</w:t>
      </w:r>
      <w:r>
        <w:rPr>
          <w:rFonts w:hint="eastAsia" w:ascii="仿宋_GB2312" w:hAnsi="仿宋_GB2312" w:eastAsia="仿宋_GB2312" w:cs="仿宋_GB2312"/>
          <w:sz w:val="32"/>
          <w:szCs w:val="32"/>
        </w:rPr>
        <w:t>增加119.4万元，增长52.7</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，主要原因是政府加大了对教育的投入，提高了教师的工资待遇；支出预算</w:t>
      </w:r>
      <w:r>
        <w:rPr>
          <w:rFonts w:hint="eastAsia" w:ascii="宋体" w:hAnsi="宋体"/>
          <w:sz w:val="32"/>
          <w:szCs w:val="32"/>
        </w:rPr>
        <w:t>345.95</w:t>
      </w:r>
      <w:r>
        <w:rPr>
          <w:rFonts w:hint="eastAsia" w:ascii="仿宋_GB2312" w:hAnsi="仿宋_GB2312" w:eastAsia="仿宋_GB2312" w:cs="仿宋_GB2312"/>
          <w:sz w:val="32"/>
          <w:szCs w:val="32"/>
        </w:rPr>
        <w:t>万元，比上年</w:t>
      </w:r>
      <w:r>
        <w:rPr>
          <w:rFonts w:hint="eastAsia" w:ascii="宋体" w:hAnsi="宋体" w:eastAsia="仿宋_GB2312" w:cs="宋体"/>
          <w:sz w:val="32"/>
          <w:szCs w:val="32"/>
        </w:rPr>
        <w:t>226.55</w:t>
      </w:r>
      <w:r>
        <w:rPr>
          <w:rFonts w:hint="eastAsia" w:ascii="宋体" w:hAnsi="宋体" w:eastAsia="仿宋_GB2312" w:cs="仿宋_GB2312"/>
          <w:sz w:val="32"/>
          <w:szCs w:val="32"/>
        </w:rPr>
        <w:t>万元</w:t>
      </w:r>
      <w:r>
        <w:rPr>
          <w:rFonts w:hint="eastAsia" w:ascii="仿宋_GB2312" w:hAnsi="仿宋_GB2312" w:eastAsia="仿宋_GB2312" w:cs="仿宋_GB2312"/>
          <w:sz w:val="32"/>
          <w:szCs w:val="32"/>
        </w:rPr>
        <w:t>增加119.4万元，增长52.7</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，主要原因是政府加大了对教育的投入，提高了教师的工资待遇。</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Times New Roman"/>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年本部门“三公”经费预算安排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万元，与上年保持不变。其中：因公出国（境）费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万元，与上年保持不变；公务用车购置及运行费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万元，与上年保持不变；公务接待费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万元，与上年保持不变。</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机关运行经费安排情况</w:t>
      </w:r>
    </w:p>
    <w:p>
      <w:pPr>
        <w:rPr>
          <w:rFonts w:ascii="仿宋_GB2312" w:hAnsi="仿宋_GB2312" w:eastAsia="仿宋_GB2312" w:cs="Times New Roman"/>
          <w:sz w:val="32"/>
          <w:szCs w:val="32"/>
        </w:rPr>
      </w:pPr>
      <w:r>
        <w:rPr>
          <w:rFonts w:ascii="仿宋_GB2312" w:hAnsi="仿宋_GB2312" w:eastAsia="仿宋_GB2312" w:cs="仿宋_GB2312"/>
          <w:color w:val="FF0000"/>
          <w:sz w:val="32"/>
          <w:szCs w:val="32"/>
        </w:rPr>
        <w:t xml:space="preserve">   </w:t>
      </w: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年，本部门机关运行经费安排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万元，其中：办公费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，印刷费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，邮电费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，差旅费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，会议费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，福利费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，日常维修费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，专用材料及一般设备购置费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，办公用房水电费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，办公用房取暖费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，办公用房物业管理费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，公务用车运行维护费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等。</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政府采购情况</w:t>
      </w:r>
    </w:p>
    <w:p>
      <w:pPr>
        <w:rPr>
          <w:rFonts w:ascii="仿宋_GB2312" w:hAnsi="仿宋_GB2312" w:eastAsia="仿宋_GB2312" w:cs="Times New Roman"/>
          <w:sz w:val="32"/>
          <w:szCs w:val="32"/>
        </w:rPr>
      </w:pPr>
      <w:r>
        <w:rPr>
          <w:rFonts w:ascii="仿宋_GB2312" w:hAnsi="仿宋_GB2312" w:eastAsia="仿宋_GB2312" w:cs="仿宋_GB2312"/>
          <w:sz w:val="32"/>
          <w:szCs w:val="32"/>
        </w:rPr>
        <w:t xml:space="preserve">    2016</w:t>
      </w:r>
      <w:r>
        <w:rPr>
          <w:rFonts w:hint="eastAsia" w:ascii="仿宋_GB2312" w:hAnsi="仿宋_GB2312" w:eastAsia="仿宋_GB2312" w:cs="仿宋_GB2312"/>
          <w:sz w:val="32"/>
          <w:szCs w:val="32"/>
        </w:rPr>
        <w:t>年本部门政府采购安排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万元，其中：货物类采购预算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万元，工程类采购预算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万元，服务类采购预算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万元等。</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国有资产占有使用情况</w:t>
      </w:r>
    </w:p>
    <w:p>
      <w:pPr>
        <w:spacing w:line="580" w:lineRule="exact"/>
        <w:ind w:firstLine="640" w:firstLineChars="200"/>
        <w:rPr>
          <w:rFonts w:ascii="仿宋_GB2312" w:eastAsia="仿宋_GB2312"/>
          <w:b/>
          <w:sz w:val="32"/>
          <w:szCs w:val="32"/>
        </w:rPr>
      </w:pPr>
      <w:r>
        <w:rPr>
          <w:rFonts w:hint="eastAsia" w:ascii="仿宋_GB2312" w:eastAsia="仿宋_GB2312" w:cs="仿宋_GB2312"/>
          <w:sz w:val="32"/>
          <w:szCs w:val="32"/>
        </w:rPr>
        <w:t>截至</w:t>
      </w:r>
      <w:r>
        <w:rPr>
          <w:rFonts w:ascii="仿宋_GB2312" w:eastAsia="仿宋_GB2312" w:cs="仿宋_GB2312"/>
          <w:sz w:val="32"/>
          <w:szCs w:val="32"/>
        </w:rPr>
        <w:t>2016</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日，本部门共有车辆</w:t>
      </w:r>
      <w:r>
        <w:rPr>
          <w:rFonts w:ascii="仿宋_GB2312" w:eastAsia="仿宋_GB2312" w:cs="仿宋_GB2312"/>
          <w:sz w:val="32"/>
          <w:szCs w:val="32"/>
        </w:rPr>
        <w:t>0</w:t>
      </w:r>
      <w:r>
        <w:rPr>
          <w:rFonts w:hint="eastAsia" w:ascii="仿宋_GB2312" w:eastAsia="仿宋_GB2312" w:cs="仿宋_GB2312"/>
          <w:sz w:val="32"/>
          <w:szCs w:val="32"/>
        </w:rPr>
        <w:t>辆；</w:t>
      </w:r>
      <w:r>
        <w:rPr>
          <w:rFonts w:hint="eastAsia" w:ascii="仿宋_GB2312" w:hAnsi="宋体" w:eastAsia="仿宋_GB2312" w:cs="仿宋_GB2312"/>
          <w:b/>
          <w:bCs/>
          <w:kern w:val="0"/>
          <w:sz w:val="32"/>
          <w:szCs w:val="32"/>
        </w:rPr>
        <w:t>单位价值</w:t>
      </w:r>
      <w:r>
        <w:rPr>
          <w:rFonts w:ascii="仿宋_GB2312" w:hAnsi="宋体" w:eastAsia="仿宋_GB2312" w:cs="仿宋_GB2312"/>
          <w:b/>
          <w:bCs/>
          <w:kern w:val="0"/>
          <w:sz w:val="32"/>
          <w:szCs w:val="32"/>
        </w:rPr>
        <w:t>50</w:t>
      </w:r>
      <w:r>
        <w:rPr>
          <w:rFonts w:hint="eastAsia" w:ascii="仿宋_GB2312" w:hAnsi="宋体" w:eastAsia="仿宋_GB2312" w:cs="仿宋_GB2312"/>
          <w:b/>
          <w:bCs/>
          <w:kern w:val="0"/>
          <w:sz w:val="32"/>
          <w:szCs w:val="32"/>
        </w:rPr>
        <w:t>万元以上通用设备</w:t>
      </w:r>
      <w:r>
        <w:rPr>
          <w:rFonts w:ascii="仿宋_GB2312" w:hAnsi="宋体" w:eastAsia="仿宋_GB2312" w:cs="仿宋_GB2312"/>
          <w:b/>
          <w:bCs/>
          <w:kern w:val="0"/>
          <w:sz w:val="32"/>
          <w:szCs w:val="32"/>
        </w:rPr>
        <w:t>0</w:t>
      </w:r>
      <w:r>
        <w:rPr>
          <w:rFonts w:hint="eastAsia" w:ascii="仿宋_GB2312" w:hAnsi="宋体" w:eastAsia="仿宋_GB2312" w:cs="仿宋_GB2312"/>
          <w:b/>
          <w:bCs/>
          <w:kern w:val="0"/>
          <w:sz w:val="32"/>
          <w:szCs w:val="32"/>
        </w:rPr>
        <w:t>台（套），单价</w:t>
      </w:r>
      <w:r>
        <w:rPr>
          <w:rFonts w:ascii="仿宋_GB2312" w:hAnsi="宋体" w:eastAsia="仿宋_GB2312" w:cs="仿宋_GB2312"/>
          <w:b/>
          <w:bCs/>
          <w:kern w:val="0"/>
          <w:sz w:val="32"/>
          <w:szCs w:val="32"/>
        </w:rPr>
        <w:t>100</w:t>
      </w:r>
      <w:r>
        <w:rPr>
          <w:rFonts w:hint="eastAsia" w:ascii="仿宋_GB2312" w:hAnsi="宋体" w:eastAsia="仿宋_GB2312" w:cs="仿宋_GB2312"/>
          <w:b/>
          <w:bCs/>
          <w:kern w:val="0"/>
          <w:sz w:val="32"/>
          <w:szCs w:val="32"/>
        </w:rPr>
        <w:t>万元以上专用设备</w:t>
      </w:r>
      <w:r>
        <w:rPr>
          <w:rFonts w:ascii="仿宋_GB2312" w:hAnsi="宋体" w:eastAsia="仿宋_GB2312" w:cs="仿宋_GB2312"/>
          <w:b/>
          <w:bCs/>
          <w:kern w:val="0"/>
          <w:sz w:val="32"/>
          <w:szCs w:val="32"/>
        </w:rPr>
        <w:t>0</w:t>
      </w:r>
      <w:r>
        <w:rPr>
          <w:rFonts w:hint="eastAsia" w:ascii="仿宋_GB2312" w:hAnsi="宋体" w:eastAsia="仿宋_GB2312" w:cs="仿宋_GB2312"/>
          <w:b/>
          <w:bCs/>
          <w:kern w:val="0"/>
          <w:sz w:val="32"/>
          <w:szCs w:val="32"/>
        </w:rPr>
        <w:t>台（套）。</w:t>
      </w:r>
      <w:r>
        <w:rPr>
          <w:rFonts w:hint="eastAsia" w:ascii="仿宋_GB2312" w:hAnsi="宋体" w:eastAsia="仿宋_GB2312" w:cs="宋体"/>
          <w:b/>
          <w:kern w:val="0"/>
          <w:sz w:val="32"/>
          <w:szCs w:val="32"/>
        </w:rPr>
        <w:t>学校固定资产总值为：291.9</w:t>
      </w:r>
      <w:r>
        <w:rPr>
          <w:rFonts w:ascii="仿宋_GB2312" w:hAnsi="宋体" w:eastAsia="仿宋_GB2312" w:cs="宋体"/>
          <w:b/>
          <w:kern w:val="0"/>
          <w:sz w:val="32"/>
          <w:szCs w:val="32"/>
        </w:rPr>
        <w:t>万元</w:t>
      </w:r>
      <w:r>
        <w:rPr>
          <w:rFonts w:hint="eastAsia" w:ascii="仿宋_GB2312" w:hAnsi="宋体" w:eastAsia="仿宋_GB2312" w:cs="宋体"/>
          <w:b/>
          <w:kern w:val="0"/>
          <w:sz w:val="32"/>
          <w:szCs w:val="32"/>
        </w:rPr>
        <w:t>，校园占地面积为21839平方米，建筑面积为5051平方米.</w:t>
      </w:r>
    </w:p>
    <w:p>
      <w:pPr>
        <w:spacing w:line="580" w:lineRule="exact"/>
        <w:ind w:firstLine="640" w:firstLineChars="200"/>
        <w:rPr>
          <w:rFonts w:ascii="黑体" w:hAnsi="黑体" w:eastAsia="黑体" w:cs="Times New Roman"/>
          <w:sz w:val="32"/>
          <w:szCs w:val="32"/>
        </w:rPr>
      </w:pPr>
      <w:r>
        <w:rPr>
          <w:rFonts w:hint="eastAsia" w:ascii="黑体" w:hAnsi="黑体" w:eastAsia="黑体" w:cs="黑体"/>
          <w:sz w:val="32"/>
          <w:szCs w:val="32"/>
        </w:rPr>
        <w:t>六、预算绩效信息公开情况</w:t>
      </w:r>
    </w:p>
    <w:p>
      <w:pPr>
        <w:snapToGrid w:val="0"/>
        <w:spacing w:line="580" w:lineRule="exact"/>
        <w:ind w:firstLine="515" w:firstLineChars="161"/>
        <w:rPr>
          <w:rFonts w:ascii="仿宋_GB2312" w:eastAsia="仿宋_GB2312"/>
          <w:sz w:val="32"/>
          <w:szCs w:val="32"/>
        </w:rPr>
      </w:pP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年，本部门积极按照要求推进相关预算绩效信息公开。</w:t>
      </w:r>
      <w:r>
        <w:rPr>
          <w:rFonts w:hint="eastAsia" w:ascii="仿宋_GB2312" w:eastAsia="仿宋_GB2312"/>
          <w:sz w:val="32"/>
          <w:szCs w:val="32"/>
        </w:rPr>
        <w:t>一般公共预算项目支出全面开展绩效自评。自评覆盖率达到100%。</w:t>
      </w:r>
    </w:p>
    <w:p>
      <w:pPr>
        <w:snapToGrid w:val="0"/>
        <w:spacing w:line="580" w:lineRule="exact"/>
        <w:ind w:firstLine="640"/>
        <w:rPr>
          <w:rFonts w:ascii="仿宋_GB2312" w:eastAsia="仿宋_GB2312"/>
          <w:sz w:val="32"/>
          <w:szCs w:val="32"/>
        </w:rPr>
      </w:pPr>
      <w:r>
        <w:rPr>
          <w:rFonts w:hint="eastAsia" w:ascii="仿宋_GB2312" w:eastAsia="仿宋_GB2312"/>
          <w:sz w:val="32"/>
          <w:szCs w:val="32"/>
        </w:rPr>
        <w:t>从评价情况来看，各个项目支出绩效情况较为理想达到项目申请时设定的各项绩效目标。</w:t>
      </w:r>
    </w:p>
    <w:p>
      <w:pPr>
        <w:ind w:firstLine="640"/>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p>
    <w:p>
      <w:pPr>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第四部分</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名词解释</w:t>
      </w:r>
    </w:p>
    <w:p>
      <w:pPr>
        <w:spacing w:line="288" w:lineRule="auto"/>
        <w:ind w:firstLine="627" w:firstLineChars="196"/>
        <w:rPr>
          <w:rFonts w:ascii="仿宋_GB2312" w:eastAsia="仿宋_GB2312" w:cs="Times New Roman"/>
          <w:b/>
          <w:bCs/>
          <w:sz w:val="32"/>
          <w:szCs w:val="32"/>
        </w:rPr>
      </w:pPr>
      <w:r>
        <w:rPr>
          <w:rFonts w:hint="eastAsia" w:ascii="仿宋_GB2312" w:eastAsia="仿宋_GB2312" w:cs="仿宋_GB2312"/>
          <w:sz w:val="32"/>
          <w:szCs w:val="32"/>
        </w:rPr>
        <w:t>为便于社会公众的理解，各部门需对公开内容中涉及的专业名词进行解释，</w:t>
      </w:r>
    </w:p>
    <w:p>
      <w:pPr>
        <w:numPr>
          <w:ilvl w:val="0"/>
          <w:numId w:val="5"/>
        </w:numPr>
        <w:spacing w:line="288" w:lineRule="auto"/>
        <w:ind w:firstLine="630" w:firstLineChars="196"/>
        <w:rPr>
          <w:rFonts w:ascii="仿宋_GB2312" w:eastAsia="仿宋_GB2312" w:cs="Times New Roman"/>
          <w:sz w:val="32"/>
          <w:szCs w:val="32"/>
        </w:rPr>
      </w:pPr>
      <w:r>
        <w:rPr>
          <w:rFonts w:hint="eastAsia" w:ascii="仿宋_GB2312" w:eastAsia="仿宋_GB2312" w:cs="仿宋_GB2312"/>
          <w:b/>
          <w:bCs/>
          <w:sz w:val="32"/>
          <w:szCs w:val="32"/>
        </w:rPr>
        <w:t>财政拨款收入：</w:t>
      </w:r>
      <w:r>
        <w:rPr>
          <w:rFonts w:hint="eastAsia" w:ascii="仿宋_GB2312" w:eastAsia="仿宋_GB2312" w:cs="仿宋_GB2312"/>
          <w:sz w:val="32"/>
          <w:szCs w:val="32"/>
        </w:rPr>
        <w:t>指财政当年拨付的资金事业收入。</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二、事业收入：</w:t>
      </w:r>
      <w:r>
        <w:rPr>
          <w:rFonts w:hint="eastAsia" w:ascii="仿宋_GB2312" w:eastAsia="仿宋_GB2312" w:cs="仿宋_GB2312"/>
          <w:sz w:val="32"/>
          <w:szCs w:val="32"/>
        </w:rPr>
        <w:t>指事业单位开展专业业务活动及辅动所取得的收入。</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三、经营收入：</w:t>
      </w:r>
      <w:r>
        <w:rPr>
          <w:rFonts w:hint="eastAsia" w:ascii="仿宋_GB2312" w:eastAsia="仿宋_GB2312" w:cs="仿宋_GB2312"/>
          <w:sz w:val="32"/>
          <w:szCs w:val="32"/>
        </w:rPr>
        <w:t>指事业单位在专业业务活动及其辅助活动之外开展非独立核算经营活动取得的收入。</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四、其他收入：</w:t>
      </w:r>
      <w:r>
        <w:rPr>
          <w:rFonts w:hint="eastAsia" w:ascii="仿宋_GB2312" w:eastAsia="仿宋_GB2312" w:cs="仿宋_GB2312"/>
          <w:sz w:val="32"/>
          <w:szCs w:val="32"/>
        </w:rPr>
        <w:t>指除上述“财政拨款收入”、“事业收入”、“经营收入”等以外的收入。主要是非本级财政拨款、存款利息收入、事业单位固定资产出租收入等。</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五、用事业基金弥补收支差额：</w:t>
      </w:r>
      <w:r>
        <w:rPr>
          <w:rFonts w:hint="eastAsia" w:ascii="仿宋_GB2312" w:eastAsia="仿宋_GB2312" w:cs="仿宋_GB2312"/>
          <w:sz w:val="32"/>
          <w:szCs w:val="32"/>
        </w:rPr>
        <w:t>指事业单位在用当年的“财政拨款收入”、</w:t>
      </w:r>
      <w:r>
        <w:rPr>
          <w:rFonts w:ascii="仿宋_GB2312" w:eastAsia="仿宋_GB2312" w:cs="仿宋_GB2312"/>
          <w:sz w:val="32"/>
          <w:szCs w:val="32"/>
        </w:rPr>
        <w:t xml:space="preserve"> </w:t>
      </w:r>
      <w:r>
        <w:rPr>
          <w:rFonts w:hint="eastAsia" w:ascii="仿宋_GB2312" w:eastAsia="仿宋_GB2312" w:cs="仿宋_GB2312"/>
          <w:sz w:val="32"/>
          <w:szCs w:val="32"/>
        </w:rPr>
        <w:t>“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六、基本支出：</w:t>
      </w:r>
      <w:r>
        <w:rPr>
          <w:rFonts w:hint="eastAsia" w:ascii="仿宋_GB2312" w:eastAsia="仿宋_GB2312" w:cs="仿宋_GB2312"/>
          <w:sz w:val="32"/>
          <w:szCs w:val="32"/>
        </w:rPr>
        <w:t>指为保障机构正常运转、完成日常工作任务面发生的人员支出和公用支出。</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七、项目支出：</w:t>
      </w:r>
      <w:r>
        <w:rPr>
          <w:rFonts w:hint="eastAsia" w:ascii="仿宋_GB2312" w:eastAsia="仿宋_GB2312" w:cs="仿宋_GB2312"/>
          <w:sz w:val="32"/>
          <w:szCs w:val="32"/>
        </w:rPr>
        <w:t>指在基本支出这外为完成特定行政任务和事业发展目标所发生的支出。</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八、经营支出：</w:t>
      </w:r>
      <w:r>
        <w:rPr>
          <w:rFonts w:hint="eastAsia" w:ascii="仿宋_GB2312" w:eastAsia="仿宋_GB2312" w:cs="仿宋_GB2312"/>
          <w:sz w:val="32"/>
          <w:szCs w:val="32"/>
        </w:rPr>
        <w:t>指事业单位在专业业务活动及其辅助活动之外开展非独立核算经营活动所发生的支出。</w:t>
      </w:r>
    </w:p>
    <w:p>
      <w:pPr>
        <w:spacing w:line="288" w:lineRule="auto"/>
        <w:ind w:left="1" w:firstLine="630" w:firstLineChars="196"/>
        <w:rPr>
          <w:rFonts w:ascii="仿宋_GB2312" w:hAnsi="宋体" w:eastAsia="仿宋_GB2312" w:cs="Times New Roman"/>
          <w:kern w:val="0"/>
          <w:sz w:val="32"/>
          <w:szCs w:val="32"/>
        </w:rPr>
      </w:pPr>
      <w:r>
        <w:rPr>
          <w:rFonts w:hint="eastAsia" w:ascii="仿宋_GB2312" w:eastAsia="仿宋_GB2312" w:cs="仿宋_GB2312"/>
          <w:b/>
          <w:bCs/>
          <w:sz w:val="32"/>
          <w:szCs w:val="32"/>
        </w:rPr>
        <w:t>九、“三公”经费：</w:t>
      </w:r>
      <w:r>
        <w:rPr>
          <w:rFonts w:hint="eastAsia" w:ascii="仿宋_GB2312" w:hAnsi="宋体" w:eastAsia="仿宋_GB2312" w:cs="仿宋_GB2312"/>
          <w:kern w:val="0"/>
          <w:sz w:val="32"/>
          <w:szCs w:val="32"/>
        </w:rPr>
        <w:t>按照党中央、国务院有关文件及部门预算管理有关规定，“三公”经费包括因公出国（境）费、公务用车购置及运行费和公务接待费。（</w:t>
      </w:r>
      <w:r>
        <w:rPr>
          <w:rFonts w:ascii="仿宋_GB2312" w:hAnsi="宋体" w:eastAsia="仿宋_GB2312" w:cs="仿宋_GB2312"/>
          <w:kern w:val="0"/>
          <w:sz w:val="32"/>
          <w:szCs w:val="32"/>
        </w:rPr>
        <w:t>1</w:t>
      </w:r>
      <w:r>
        <w:rPr>
          <w:rFonts w:hint="eastAsia" w:ascii="仿宋_GB2312" w:hAnsi="宋体" w:eastAsia="仿宋_GB2312" w:cs="仿宋_GB2312"/>
          <w:kern w:val="0"/>
          <w:sz w:val="32"/>
          <w:szCs w:val="32"/>
        </w:rPr>
        <w:t>）因公出国（境）费，指单位工作人员公务出国（境）的住宿费、旅费、伙食补助费、杂费、培训费等支出。（</w:t>
      </w:r>
      <w:r>
        <w:rPr>
          <w:rFonts w:ascii="仿宋_GB2312" w:hAnsi="宋体" w:eastAsia="仿宋_GB2312" w:cs="仿宋_GB2312"/>
          <w:kern w:val="0"/>
          <w:sz w:val="32"/>
          <w:szCs w:val="32"/>
        </w:rPr>
        <w:t>2</w:t>
      </w:r>
      <w:r>
        <w:rPr>
          <w:rFonts w:hint="eastAsia" w:ascii="仿宋_GB2312" w:hAnsi="宋体" w:eastAsia="仿宋_GB2312" w:cs="仿宋_GB2312"/>
          <w:kern w:val="0"/>
          <w:sz w:val="32"/>
          <w:szCs w:val="32"/>
        </w:rPr>
        <w:t>）公务用车购置及运行费，指单位公务用车购置费及租用费、燃料费、维修费、过路过桥费、保险费、安全奖励费用等支出。公务用车指用于履行公务的机动车辆，包括领导干部专车、一般公务用车和执法执勤用车。（</w:t>
      </w:r>
      <w:r>
        <w:rPr>
          <w:rFonts w:ascii="仿宋_GB2312" w:hAnsi="宋体" w:eastAsia="仿宋_GB2312" w:cs="仿宋_GB2312"/>
          <w:kern w:val="0"/>
          <w:sz w:val="32"/>
          <w:szCs w:val="32"/>
        </w:rPr>
        <w:t>3</w:t>
      </w:r>
      <w:r>
        <w:rPr>
          <w:rFonts w:hint="eastAsia" w:ascii="仿宋_GB2312" w:hAnsi="宋体" w:eastAsia="仿宋_GB2312" w:cs="仿宋_GB2312"/>
          <w:kern w:val="0"/>
          <w:sz w:val="32"/>
          <w:szCs w:val="32"/>
        </w:rPr>
        <w:t>）公务接待费，指单位按规定开支的各类公务接待（含外宾接待）支出。</w:t>
      </w:r>
    </w:p>
    <w:p>
      <w:pPr>
        <w:spacing w:line="288" w:lineRule="auto"/>
        <w:ind w:left="1" w:firstLine="630" w:firstLineChars="196"/>
        <w:rPr>
          <w:rFonts w:ascii="仿宋_GB2312" w:eastAsia="仿宋_GB2312" w:cs="Times New Roman"/>
          <w:sz w:val="32"/>
          <w:szCs w:val="32"/>
        </w:rPr>
      </w:pPr>
      <w:r>
        <w:rPr>
          <w:rFonts w:hint="eastAsia" w:ascii="仿宋_GB2312" w:eastAsia="仿宋_GB2312" w:cs="仿宋_GB2312"/>
          <w:b/>
          <w:bCs/>
          <w:sz w:val="32"/>
          <w:szCs w:val="32"/>
        </w:rPr>
        <w:t>十、机关运行经费：</w:t>
      </w:r>
      <w:r>
        <w:rPr>
          <w:rFonts w:hint="eastAsia" w:ascii="仿宋_GB2312" w:eastAsia="仿宋_GB2312" w:cs="仿宋_GB2312"/>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pPr>
        <w:ind w:firstLine="420" w:firstLineChars="200"/>
        <w:jc w:val="left"/>
        <w:rPr>
          <w:rFonts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5F50C1"/>
    <w:multiLevelType w:val="singleLevel"/>
    <w:tmpl w:val="5A5F50C1"/>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81D07C1"/>
    <w:rsid w:val="000D46AE"/>
    <w:rsid w:val="002031B1"/>
    <w:rsid w:val="002C4D8F"/>
    <w:rsid w:val="003428AF"/>
    <w:rsid w:val="003D0578"/>
    <w:rsid w:val="00492503"/>
    <w:rsid w:val="004C70A1"/>
    <w:rsid w:val="005022EE"/>
    <w:rsid w:val="00515579"/>
    <w:rsid w:val="00652168"/>
    <w:rsid w:val="00660E3B"/>
    <w:rsid w:val="006A7B9A"/>
    <w:rsid w:val="007030EB"/>
    <w:rsid w:val="008C0E74"/>
    <w:rsid w:val="008C1848"/>
    <w:rsid w:val="008F34E6"/>
    <w:rsid w:val="009205EB"/>
    <w:rsid w:val="00930B61"/>
    <w:rsid w:val="00971B56"/>
    <w:rsid w:val="00991306"/>
    <w:rsid w:val="009E71B8"/>
    <w:rsid w:val="00A52C76"/>
    <w:rsid w:val="00B81025"/>
    <w:rsid w:val="00C70A84"/>
    <w:rsid w:val="00C85692"/>
    <w:rsid w:val="00E71BE4"/>
    <w:rsid w:val="00EB6B1C"/>
    <w:rsid w:val="00FB5518"/>
    <w:rsid w:val="00FD2319"/>
    <w:rsid w:val="02DC0CEF"/>
    <w:rsid w:val="081D07C1"/>
    <w:rsid w:val="1B9E4CF9"/>
    <w:rsid w:val="299E20A7"/>
    <w:rsid w:val="2F300128"/>
    <w:rsid w:val="587E5B40"/>
    <w:rsid w:val="658E0CA7"/>
    <w:rsid w:val="6D53502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rFonts w:cs="Calibri"/>
      <w:kern w:val="2"/>
      <w:sz w:val="18"/>
      <w:szCs w:val="18"/>
    </w:rPr>
  </w:style>
  <w:style w:type="character" w:customStyle="1" w:styleId="7">
    <w:name w:val="页脚 Char"/>
    <w:basedOn w:val="4"/>
    <w:link w:val="2"/>
    <w:semiHidden/>
    <w:uiPriority w:val="99"/>
    <w:rPr>
      <w:rFonts w:cs="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www.ftpdown.com</Company>
  <Pages>7</Pages>
  <Words>1951</Words>
  <Characters>168</Characters>
  <Lines>1</Lines>
  <Paragraphs>4</Paragraphs>
  <TotalTime>31</TotalTime>
  <ScaleCrop>false</ScaleCrop>
  <LinksUpToDate>false</LinksUpToDate>
  <CharactersWithSpaces>2115</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2018-05-23T09:29:54Z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