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县科协部门预算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第一部分  </w:t>
      </w:r>
      <w:r>
        <w:rPr>
          <w:rFonts w:hint="eastAsia" w:ascii="宋体" w:hAnsi="宋体" w:cs="宋体"/>
          <w:b/>
          <w:bCs/>
          <w:color w:val="000000"/>
          <w:kern w:val="0"/>
          <w:sz w:val="32"/>
          <w:szCs w:val="32"/>
        </w:rPr>
        <w:t>2016年度蕉岭县科协</w:t>
      </w:r>
      <w:r>
        <w:rPr>
          <w:rFonts w:hint="eastAsia" w:ascii="黑体" w:hAnsi="黑体" w:eastAsia="黑体" w:cs="黑体"/>
          <w:sz w:val="32"/>
          <w:szCs w:val="32"/>
        </w:rPr>
        <w:t>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第二部分  </w:t>
      </w:r>
      <w:r>
        <w:rPr>
          <w:rFonts w:hint="eastAsia" w:ascii="宋体" w:hAnsi="宋体" w:cs="宋体"/>
          <w:b/>
          <w:bCs/>
          <w:color w:val="000000"/>
          <w:kern w:val="0"/>
          <w:sz w:val="32"/>
          <w:szCs w:val="32"/>
        </w:rPr>
        <w:t>2016年度</w:t>
      </w:r>
      <w:r>
        <w:rPr>
          <w:rFonts w:hint="eastAsia" w:ascii="黑体" w:hAnsi="黑体" w:eastAsia="黑体" w:cs="黑体"/>
          <w:sz w:val="32"/>
          <w:szCs w:val="32"/>
        </w:rPr>
        <w:t>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 xml:space="preserve">第三部分  </w:t>
      </w:r>
      <w:r>
        <w:rPr>
          <w:rFonts w:hint="eastAsia" w:ascii="宋体" w:hAnsi="宋体" w:cs="宋体"/>
          <w:b/>
          <w:bCs/>
          <w:color w:val="000000"/>
          <w:kern w:val="0"/>
          <w:sz w:val="32"/>
          <w:szCs w:val="32"/>
        </w:rPr>
        <w:t>2018年度</w:t>
      </w:r>
      <w:r>
        <w:rPr>
          <w:rFonts w:hint="eastAsia" w:ascii="黑体" w:hAnsi="黑体" w:eastAsia="黑体" w:cs="黑体"/>
          <w:sz w:val="32"/>
          <w:szCs w:val="32"/>
        </w:rPr>
        <w:t>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第一部分 2016年度蕉岭县科协概况</w:t>
      </w:r>
    </w:p>
    <w:p>
      <w:pPr>
        <w:rPr>
          <w:rFonts w:ascii="黑体" w:hAnsi="黑体" w:eastAsia="黑体" w:cs="黑体"/>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主要职责（机构职能）</w:t>
      </w:r>
    </w:p>
    <w:p>
      <w:pPr>
        <w:pStyle w:val="7"/>
        <w:numPr>
          <w:ilvl w:val="0"/>
          <w:numId w:val="4"/>
        </w:numPr>
        <w:spacing w:line="560" w:lineRule="exact"/>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办公室</w:t>
      </w:r>
    </w:p>
    <w:p>
      <w:pPr>
        <w:pStyle w:val="7"/>
        <w:spacing w:line="560" w:lineRule="exact"/>
        <w:ind w:left="58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办公室是科协机关的综合职能部门，负责本会综合协调、</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调研、信息、保密、档案、审计、统计、基建、信访、接待、机关财务和后勤行政等工作；负责本会人事、劳资、福利、保卫和党务、纪检、宣传教育，以及离退休干部管理，工、青、妇、计划生育等。</w:t>
      </w:r>
    </w:p>
    <w:p>
      <w:pPr>
        <w:pStyle w:val="7"/>
        <w:spacing w:line="560" w:lineRule="exact"/>
        <w:ind w:left="42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（二）学会部</w:t>
      </w:r>
    </w:p>
    <w:p>
      <w:pPr>
        <w:pStyle w:val="7"/>
        <w:spacing w:line="560" w:lineRule="exact"/>
        <w:ind w:left="42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学会部是科协的一个职能部门。负责指导县级学会的组织</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建设和协调所属团体之间的关系；反映科技工作者的呼声、维护科技工作者的合法权益，协助党和政府做好知识分子工作，负责本系统国内外民间科技交流；主办、协办、承办各种学术讨论会和展览会；组织表彰和奖励优秀科技工作者，评选先进学会以及自然科学学科优秀论文、优秀建议、优秀计策奖等各项工作。</w:t>
      </w:r>
    </w:p>
    <w:p>
      <w:pPr>
        <w:pStyle w:val="7"/>
        <w:spacing w:line="560" w:lineRule="exact"/>
        <w:ind w:left="42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（三）普及部</w:t>
      </w:r>
    </w:p>
    <w:p>
      <w:pPr>
        <w:pStyle w:val="7"/>
        <w:spacing w:line="560" w:lineRule="exact"/>
        <w:ind w:left="42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普及部是科协的一个职能部门。负责贯彻执行科普工作方</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针、政策，运用各种形式，开展科普宣传工作，培养科技人才，提高全县人民的科学文化水平，促进社会生产力的发展，加速现代化进程。</w:t>
      </w:r>
    </w:p>
    <w:p>
      <w:pPr>
        <w:spacing w:line="560" w:lineRule="exact"/>
        <w:rPr>
          <w:rFonts w:ascii="仿宋_GB2312" w:hAnsi="仿宋_GB2312" w:eastAsia="仿宋_GB2312" w:cs="仿宋_GB2312"/>
          <w:sz w:val="32"/>
          <w:szCs w:val="32"/>
        </w:rPr>
      </w:pPr>
    </w:p>
    <w:p>
      <w:pPr>
        <w:spacing w:line="560" w:lineRule="exact"/>
        <w:rPr>
          <w:rFonts w:ascii="仿宋_GB2312" w:hAnsi="仿宋_GB2312" w:eastAsia="仿宋_GB2312" w:cs="仿宋_GB2312"/>
          <w:sz w:val="32"/>
          <w:szCs w:val="32"/>
        </w:rPr>
      </w:pPr>
    </w:p>
    <w:p>
      <w:pPr>
        <w:rPr>
          <w:rFonts w:ascii="黑体" w:hAnsi="黑体" w:eastAsia="黑体" w:cs="黑体"/>
          <w:sz w:val="32"/>
          <w:szCs w:val="32"/>
        </w:rPr>
      </w:pPr>
      <w:r>
        <w:rPr>
          <w:rFonts w:hint="eastAsia" w:ascii="黑体" w:hAnsi="黑体" w:eastAsia="黑体" w:cs="黑体"/>
          <w:sz w:val="32"/>
          <w:szCs w:val="32"/>
        </w:rPr>
        <w:t xml:space="preserve">    二、机构设置</w:t>
      </w:r>
    </w:p>
    <w:p>
      <w:pPr>
        <w:spacing w:line="56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本部门无下属单位</w:t>
      </w:r>
      <w:r>
        <w:rPr>
          <w:rFonts w:hint="eastAsia" w:ascii="仿宋_GB2312" w:hAnsi="仿宋_GB2312" w:eastAsia="仿宋_GB2312" w:cs="仿宋_GB2312"/>
          <w:sz w:val="32"/>
          <w:szCs w:val="32"/>
          <w:lang w:eastAsia="zh-CN"/>
        </w:rPr>
        <w:t>，部门预算为本级预算</w:t>
      </w:r>
      <w:r>
        <w:rPr>
          <w:rFonts w:hint="eastAsia" w:ascii="仿宋_GB2312" w:hAnsi="仿宋_GB2312" w:eastAsia="仿宋_GB2312" w:cs="仿宋_GB2312"/>
          <w:sz w:val="32"/>
          <w:szCs w:val="32"/>
        </w:rPr>
        <w:t>。本部门内设机构、人员构成情况：设一室二部，</w:t>
      </w:r>
      <w:r>
        <w:rPr>
          <w:rFonts w:ascii="仿宋_GB2312" w:hAnsi="仿宋_GB2312" w:eastAsia="仿宋_GB2312" w:cs="仿宋_GB2312"/>
          <w:sz w:val="32"/>
          <w:szCs w:val="32"/>
        </w:rPr>
        <w:t>实有在职人员</w:t>
      </w:r>
      <w:r>
        <w:rPr>
          <w:rFonts w:hint="eastAsia" w:ascii="仿宋_GB2312" w:hAnsi="仿宋_GB2312" w:eastAsia="仿宋_GB2312" w:cs="仿宋_GB2312"/>
          <w:sz w:val="32"/>
          <w:szCs w:val="32"/>
        </w:rPr>
        <w:t xml:space="preserve"> 5</w:t>
      </w:r>
      <w:r>
        <w:rPr>
          <w:rFonts w:ascii="仿宋_GB2312" w:hAnsi="仿宋_GB2312" w:eastAsia="仿宋_GB2312" w:cs="仿宋_GB2312"/>
          <w:sz w:val="32"/>
          <w:szCs w:val="32"/>
        </w:rPr>
        <w:t>人，</w:t>
      </w:r>
      <w:r>
        <w:rPr>
          <w:rFonts w:hint="eastAsia" w:ascii="仿宋_GB2312" w:hAnsi="仿宋_GB2312" w:eastAsia="仿宋_GB2312" w:cs="仿宋_GB2312"/>
          <w:sz w:val="32"/>
          <w:szCs w:val="32"/>
        </w:rPr>
        <w:t>主席1人，副主席1人，办公室1人，普及部1人，学会部1人。</w:t>
      </w:r>
      <w:r>
        <w:rPr>
          <w:rFonts w:ascii="仿宋_GB2312" w:hAnsi="仿宋_GB2312" w:eastAsia="仿宋_GB2312" w:cs="仿宋_GB2312"/>
          <w:sz w:val="32"/>
          <w:szCs w:val="32"/>
        </w:rPr>
        <w:t>行政离退</w:t>
      </w:r>
      <w:r>
        <w:rPr>
          <w:rFonts w:hint="eastAsia" w:ascii="仿宋_GB2312" w:hAnsi="仿宋_GB2312" w:eastAsia="仿宋_GB2312" w:cs="仿宋_GB2312"/>
          <w:sz w:val="32"/>
          <w:szCs w:val="32"/>
        </w:rPr>
        <w:t xml:space="preserve"> 7</w:t>
      </w:r>
      <w:r>
        <w:rPr>
          <w:rFonts w:ascii="仿宋_GB2312" w:hAnsi="仿宋_GB2312" w:eastAsia="仿宋_GB2312" w:cs="仿宋_GB2312"/>
          <w:sz w:val="32"/>
          <w:szCs w:val="32"/>
        </w:rPr>
        <w:t xml:space="preserve">人 </w:t>
      </w:r>
      <w:r>
        <w:rPr>
          <w:rFonts w:hint="eastAsia" w:ascii="仿宋_GB2312" w:hAnsi="仿宋_GB2312" w:eastAsia="仿宋_GB2312" w:cs="仿宋_GB2312"/>
          <w:sz w:val="32"/>
          <w:szCs w:val="32"/>
        </w:rPr>
        <w:t>。</w:t>
      </w:r>
    </w:p>
    <w:p>
      <w:pPr>
        <w:rPr>
          <w:rFonts w:ascii="黑体" w:hAnsi="黑体" w:eastAsia="黑体" w:cs="黑体"/>
          <w:sz w:val="44"/>
          <w:szCs w:val="44"/>
        </w:rPr>
        <w:sectPr>
          <w:pgSz w:w="11906" w:h="16838"/>
          <w:pgMar w:top="1440" w:right="1800" w:bottom="1440" w:left="1800" w:header="851" w:footer="992" w:gutter="0"/>
          <w:cols w:space="425" w:num="1"/>
          <w:docGrid w:type="lines" w:linePitch="312" w:charSpace="0"/>
        </w:sect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jc w:val="center"/>
        <w:rPr>
          <w:rFonts w:ascii="方正小标宋简体" w:hAnsi="方正小标宋简体" w:eastAsia="方正小标宋简体" w:cs="方正小标宋简体"/>
          <w:sz w:val="44"/>
          <w:szCs w:val="44"/>
        </w:rPr>
      </w:pPr>
      <w:r>
        <w:drawing>
          <wp:inline distT="0" distB="0" distL="0" distR="0">
            <wp:extent cx="5274310" cy="503110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5031105"/>
                    </a:xfrm>
                    <a:prstGeom prst="rect">
                      <a:avLst/>
                    </a:prstGeom>
                  </pic:spPr>
                </pic:pic>
              </a:graphicData>
            </a:graphic>
          </wp:inline>
        </w:drawing>
      </w:r>
      <w:r>
        <w:br w:type="page"/>
      </w:r>
    </w:p>
    <w:p>
      <w:r>
        <w:drawing>
          <wp:inline distT="0" distB="0" distL="0" distR="0">
            <wp:extent cx="5274310" cy="655320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4310" cy="6553819"/>
                    </a:xfrm>
                    <a:prstGeom prst="rect">
                      <a:avLst/>
                    </a:prstGeom>
                  </pic:spPr>
                </pic:pic>
              </a:graphicData>
            </a:graphic>
          </wp:inline>
        </w:drawing>
      </w:r>
      <w:r>
        <w:t xml:space="preserve"> </w:t>
      </w:r>
      <w:r>
        <w:drawing>
          <wp:inline distT="0" distB="0" distL="0" distR="0">
            <wp:extent cx="5274310" cy="699198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74310" cy="6992123"/>
                    </a:xfrm>
                    <a:prstGeom prst="rect">
                      <a:avLst/>
                    </a:prstGeom>
                  </pic:spPr>
                </pic:pic>
              </a:graphicData>
            </a:graphic>
          </wp:inline>
        </w:drawing>
      </w:r>
      <w:r>
        <w:t xml:space="preserve"> </w:t>
      </w:r>
      <w:r>
        <w:drawing>
          <wp:inline distT="0" distB="0" distL="0" distR="0">
            <wp:extent cx="5274310" cy="3313430"/>
            <wp:effectExtent l="0" t="0" r="2540"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274310" cy="3313536"/>
                    </a:xfrm>
                    <a:prstGeom prst="rect">
                      <a:avLst/>
                    </a:prstGeom>
                  </pic:spPr>
                </pic:pic>
              </a:graphicData>
            </a:graphic>
          </wp:inline>
        </w:drawing>
      </w:r>
      <w:r>
        <w:t xml:space="preserve"> </w:t>
      </w:r>
      <w:r>
        <w:drawing>
          <wp:inline distT="0" distB="0" distL="0" distR="0">
            <wp:extent cx="5274310" cy="4453890"/>
            <wp:effectExtent l="0" t="0" r="254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74310" cy="4454472"/>
                    </a:xfrm>
                    <a:prstGeom prst="rect">
                      <a:avLst/>
                    </a:prstGeom>
                  </pic:spPr>
                </pic:pic>
              </a:graphicData>
            </a:graphic>
          </wp:inline>
        </w:drawing>
      </w:r>
      <w:r>
        <w:t xml:space="preserve"> </w:t>
      </w:r>
      <w:r>
        <w:drawing>
          <wp:inline distT="0" distB="0" distL="0" distR="0">
            <wp:extent cx="5274310" cy="589026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274310" cy="5890867"/>
                    </a:xfrm>
                    <a:prstGeom prst="rect">
                      <a:avLst/>
                    </a:prstGeom>
                  </pic:spPr>
                </pic:pic>
              </a:graphicData>
            </a:graphic>
          </wp:inline>
        </w:drawing>
      </w:r>
      <w:r>
        <w:t xml:space="preserve"> </w:t>
      </w:r>
      <w:r>
        <w:drawing>
          <wp:inline distT="0" distB="0" distL="0" distR="0">
            <wp:extent cx="5274310" cy="2954655"/>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274310" cy="2955201"/>
                    </a:xfrm>
                    <a:prstGeom prst="rect">
                      <a:avLst/>
                    </a:prstGeom>
                  </pic:spPr>
                </pic:pic>
              </a:graphicData>
            </a:graphic>
          </wp:inline>
        </w:drawing>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第三部分  2016年部门预算情况说明</w:t>
      </w:r>
    </w:p>
    <w:p>
      <w:pPr>
        <w:numPr>
          <w:ilvl w:val="0"/>
          <w:numId w:val="5"/>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pStyle w:val="7"/>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县</w:t>
      </w:r>
      <w:r>
        <w:rPr>
          <w:rFonts w:hint="eastAsia" w:ascii="仿宋_GB2312" w:hAnsi="仿宋_GB2312" w:eastAsia="仿宋_GB2312" w:cs="仿宋_GB2312"/>
          <w:sz w:val="32"/>
          <w:szCs w:val="32"/>
          <w:lang w:val="en-US" w:eastAsia="zh-CN"/>
        </w:rPr>
        <w:t>科协2016年财政拨款收入预算100.12万元，比上年增加36.58万元，增长36.54%，主要原因是公积金和人员工资福利增加，全部为一般公共预算拨款100.12万元，无政府性基金预算拨款。</w:t>
      </w:r>
    </w:p>
    <w:p>
      <w:pPr>
        <w:pStyle w:val="7"/>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lang w:val="en-US" w:eastAsia="zh-CN"/>
        </w:rPr>
        <w:t>支出总预算100.12万元，比上年增加36.58万元，增长36.54%，主要原因是公积金和人员工资福利增加。</w:t>
      </w:r>
    </w:p>
    <w:p>
      <w:pPr>
        <w:autoSpaceDE w:val="0"/>
        <w:autoSpaceDN w:val="0"/>
        <w:adjustRightInd w:val="0"/>
        <w:spacing w:line="520" w:lineRule="exact"/>
        <w:ind w:firstLine="640" w:firstLineChars="200"/>
        <w:rPr>
          <w:rFonts w:ascii="宋体" w:hAnsi="宋体" w:cs="仿宋_GB2312"/>
          <w:kern w:val="0"/>
          <w:sz w:val="28"/>
          <w:szCs w:val="28"/>
        </w:rPr>
      </w:pPr>
      <w:r>
        <w:rPr>
          <w:rFonts w:hint="eastAsia" w:ascii="黑体" w:hAnsi="黑体" w:eastAsia="黑体" w:cs="黑体"/>
          <w:sz w:val="32"/>
          <w:szCs w:val="32"/>
        </w:rPr>
        <w:t>二、“三公”经费安排情况说明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w:t>
      </w:r>
    </w:p>
    <w:p>
      <w:pPr>
        <w:ind w:firstLine="640" w:firstLineChars="200"/>
        <w:rPr>
          <w:rFonts w:ascii="黑体" w:hAnsi="黑体" w:eastAsia="黑体" w:cs="黑体"/>
          <w:sz w:val="32"/>
          <w:szCs w:val="32"/>
        </w:rPr>
      </w:pPr>
      <w:r>
        <w:rPr>
          <w:rFonts w:hint="eastAsia" w:ascii="黑体" w:hAnsi="黑体" w:eastAsia="黑体" w:cs="黑体"/>
          <w:sz w:val="32"/>
          <w:szCs w:val="32"/>
        </w:rPr>
        <w:t>三、机关运行经费安排情况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机关（事业）运行经费一般公共预算9.8万元，比上年减少0.9万元，下降9.18%，主要原因是取消公务用车维护费。包括办公费1.8万元，培训费1万元，其他商品和服务支出7万元。</w:t>
      </w:r>
    </w:p>
    <w:p>
      <w:pPr>
        <w:pStyle w:val="7"/>
        <w:ind w:left="720" w:firstLine="0" w:firstLineChars="0"/>
        <w:rPr>
          <w:rFonts w:ascii="黑体" w:hAnsi="黑体" w:eastAsia="黑体" w:cs="黑体"/>
          <w:sz w:val="32"/>
          <w:szCs w:val="32"/>
        </w:rPr>
      </w:pPr>
      <w:r>
        <w:rPr>
          <w:rFonts w:hint="eastAsia" w:ascii="黑体" w:hAnsi="黑体" w:eastAsia="黑体" w:cs="黑体"/>
          <w:sz w:val="32"/>
          <w:szCs w:val="32"/>
        </w:rPr>
        <w:t>四、政府采购情况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2016年本部门政府采购安排0万元。</w:t>
      </w:r>
    </w:p>
    <w:p>
      <w:pPr>
        <w:pStyle w:val="7"/>
        <w:numPr>
          <w:ilvl w:val="0"/>
          <w:numId w:val="6"/>
        </w:numPr>
        <w:ind w:firstLineChars="0"/>
        <w:rPr>
          <w:rFonts w:ascii="黑体" w:hAnsi="黑体" w:eastAsia="黑体" w:cs="黑体"/>
          <w:sz w:val="32"/>
          <w:szCs w:val="32"/>
        </w:rPr>
      </w:pPr>
      <w:r>
        <w:rPr>
          <w:rFonts w:hint="eastAsia" w:ascii="黑体" w:hAnsi="黑体" w:eastAsia="黑体" w:cs="黑体"/>
          <w:sz w:val="32"/>
          <w:szCs w:val="32"/>
        </w:rPr>
        <w:t>国有资产占有使用情况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无国有资产占有使用情况。</w:t>
      </w:r>
    </w:p>
    <w:p>
      <w:pPr>
        <w:pStyle w:val="7"/>
        <w:numPr>
          <w:ilvl w:val="0"/>
          <w:numId w:val="6"/>
        </w:numPr>
        <w:ind w:firstLineChars="0"/>
        <w:rPr>
          <w:rFonts w:ascii="黑体" w:hAnsi="黑体" w:eastAsia="黑体" w:cs="黑体"/>
          <w:sz w:val="32"/>
          <w:szCs w:val="32"/>
        </w:rPr>
      </w:pPr>
      <w:r>
        <w:rPr>
          <w:rFonts w:hint="eastAsia" w:ascii="黑体" w:hAnsi="黑体" w:eastAsia="黑体" w:cs="黑体"/>
          <w:sz w:val="32"/>
          <w:szCs w:val="32"/>
        </w:rPr>
        <w:t>预算绩效信息公开情况</w:t>
      </w:r>
    </w:p>
    <w:p>
      <w:pPr>
        <w:pStyle w:val="7"/>
        <w:ind w:left="42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2016年，我单位的主要工作目标有：全面梳理和优化支</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出流程，健全预算编制和执行相适应制度；突出重点，认真抓好大额的重点项目支出，在合法依规、安全可靠的前提下及时高效地做好支出工作，力争2016年整体支出目标达到100%。</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1、一般公共预算拨款收入：指市财政当年拨付的资金。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2、其他收入：指上除上述“财政拨款收入”、“事业收入”、“经营收入”等以外的收入。主要是投资收益、银行存款利息收入、租金收入等。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3、事业收入：指事业单位开展专业业务活动及辅助活动所取的收入。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4、经营收入：指事业单位在专业业务活动及其辅助活动之外开展非独立核算经营活动取得的收入。</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5、年初结转和结余：指以前年度尚未完成、结转到本年按有关规定继续使用的资金。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6、社会保障和就业（类）行政事业单位离退休（款）归口管理的行政（事业）单位离退休（项）：指离退休人员经费的支出。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住房保障（类）住房改革支出（款）住房公积金（项）：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事业单位缴存基数包括国家统一规定的岗位工资、薪级工资及特殊岗位津贴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8、年末结转和结余：指本年度或以前年度预算安排、因客观条件发生变化无法按原计划实施，需要延迟到以后年度按有关规定继续使用的资金。</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9、基本支出：指为保障机构正常运转、完成日常工作任务而发生的人员支出和公用支出。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10、项目支出：指在基本支出之外为完成特定行政任务和事业发展目标所发生的支出。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 “三公”经费：纳入财政预决算管理的“三公”经费，是指用财政拨款安排因公出国（境）费、公务用车购置及运行费及公务接待费。其中，因公出国（境）费反映单位公务出国出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机关运行经费：为保障行政单位（含参照公务员法管理的事业单位）运行用于购买货物和服务的各项资金，包括办公及印刷费、邮电费、差旅费、会议费、公务接待费、福利费、日常维修费、专用材料费及一般设备购置费、水电费、物业管理费、公务用车运行维护费、其他交通费用等其他费用。</w:t>
      </w:r>
    </w:p>
    <w:p>
      <w:pPr>
        <w:rPr>
          <w:rFonts w:ascii="仿宋_GB2312" w:hAnsi="仿宋_GB2312" w:eastAsia="仿宋_GB2312" w:cs="仿宋_GB2312"/>
          <w:sz w:val="32"/>
          <w:szCs w:val="32"/>
        </w:rPr>
      </w:pP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DD0FAB"/>
    <w:multiLevelType w:val="multilevel"/>
    <w:tmpl w:val="3DDD0FAB"/>
    <w:lvl w:ilvl="0" w:tentative="0">
      <w:start w:val="5"/>
      <w:numFmt w:val="japaneseCounting"/>
      <w:lvlText w:val="%1、"/>
      <w:lvlJc w:val="left"/>
      <w:pPr>
        <w:ind w:left="1440" w:hanging="72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
    <w:nsid w:val="3F764380"/>
    <w:multiLevelType w:val="multilevel"/>
    <w:tmpl w:val="3F764380"/>
    <w:lvl w:ilvl="0" w:tentative="0">
      <w:start w:val="1"/>
      <w:numFmt w:val="japaneseCounting"/>
      <w:lvlText w:val="（%1）"/>
      <w:lvlJc w:val="left"/>
      <w:pPr>
        <w:ind w:left="1500" w:hanging="10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A5F2250"/>
    <w:multiLevelType w:val="singleLevel"/>
    <w:tmpl w:val="5A5F2250"/>
    <w:lvl w:ilvl="0" w:tentative="0">
      <w:start w:val="1"/>
      <w:numFmt w:val="chineseCounting"/>
      <w:suff w:val="nothing"/>
      <w:lvlText w:val="%1、"/>
      <w:lvlJc w:val="left"/>
    </w:lvl>
  </w:abstractNum>
  <w:abstractNum w:abstractNumId="3">
    <w:nsid w:val="5A5F2384"/>
    <w:multiLevelType w:val="singleLevel"/>
    <w:tmpl w:val="5A5F2384"/>
    <w:lvl w:ilvl="0" w:tentative="0">
      <w:start w:val="1"/>
      <w:numFmt w:val="chineseCounting"/>
      <w:suff w:val="nothing"/>
      <w:lvlText w:val="%1、"/>
      <w:lvlJc w:val="left"/>
    </w:lvl>
  </w:abstractNum>
  <w:abstractNum w:abstractNumId="4">
    <w:nsid w:val="5A5F2A51"/>
    <w:multiLevelType w:val="singleLevel"/>
    <w:tmpl w:val="5A5F2A51"/>
    <w:lvl w:ilvl="0" w:tentative="0">
      <w:start w:val="1"/>
      <w:numFmt w:val="chineseCounting"/>
      <w:suff w:val="nothing"/>
      <w:lvlText w:val="%1、"/>
      <w:lvlJc w:val="left"/>
    </w:lvl>
  </w:abstractNum>
  <w:abstractNum w:abstractNumId="5">
    <w:nsid w:val="5A600927"/>
    <w:multiLevelType w:val="singleLevel"/>
    <w:tmpl w:val="5A600927"/>
    <w:lvl w:ilvl="0" w:tentative="0">
      <w:start w:val="1"/>
      <w:numFmt w:val="chineseCounting"/>
      <w:suff w:val="nothing"/>
      <w:lvlText w:val="%1、"/>
      <w:lvlJc w:val="left"/>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102AA6"/>
    <w:rsid w:val="002103A6"/>
    <w:rsid w:val="003F3B8F"/>
    <w:rsid w:val="007463E3"/>
    <w:rsid w:val="00A36F91"/>
    <w:rsid w:val="00AC2B08"/>
    <w:rsid w:val="00AC58FC"/>
    <w:rsid w:val="00F75C7E"/>
    <w:rsid w:val="081D07C1"/>
    <w:rsid w:val="2F300128"/>
    <w:rsid w:val="57076075"/>
    <w:rsid w:val="5CF6680B"/>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unhideWhenUsed/>
    <w:uiPriority w:val="99"/>
    <w:pPr>
      <w:ind w:firstLine="420" w:firstLineChars="200"/>
    </w:pPr>
  </w:style>
  <w:style w:type="character" w:customStyle="1" w:styleId="8">
    <w:name w:val="批注框文本 Char"/>
    <w:basedOn w:val="5"/>
    <w:link w:val="2"/>
    <w:qFormat/>
    <w:uiPriority w:val="0"/>
    <w:rPr>
      <w:kern w:val="2"/>
      <w:sz w:val="18"/>
      <w:szCs w:val="18"/>
    </w:rPr>
  </w:style>
  <w:style w:type="character" w:customStyle="1" w:styleId="9">
    <w:name w:val="页眉 Char"/>
    <w:basedOn w:val="5"/>
    <w:link w:val="4"/>
    <w:qFormat/>
    <w:uiPriority w:val="0"/>
    <w:rPr>
      <w:kern w:val="2"/>
      <w:sz w:val="18"/>
      <w:szCs w:val="18"/>
    </w:rPr>
  </w:style>
  <w:style w:type="character" w:customStyle="1" w:styleId="10">
    <w:name w:val="页脚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13</Pages>
  <Words>336</Words>
  <Characters>1921</Characters>
  <Lines>16</Lines>
  <Paragraphs>4</Paragraphs>
  <TotalTime>0</TotalTime>
  <ScaleCrop>false</ScaleCrop>
  <LinksUpToDate>false</LinksUpToDate>
  <CharactersWithSpaces>2253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2018-04-13T02:13:00Z</cp:lastPrinted>
  <dcterms:modified xsi:type="dcterms:W3CDTF">2018-05-23T11:00:57Z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