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科工商务局部门预算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科工商务局概况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 年科工商务局部门预算表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 年科工商务局部门预算情况说明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科工商务局</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eastAsia="仿宋_GB2312"/>
          <w:sz w:val="32"/>
          <w:szCs w:val="32"/>
        </w:rPr>
        <w:t>蕉岭县科工商务管理局主要职能是：宏观管理全县的上规模企业、中小企业、商品流通企业、对外贸易企业；拟定并组织实施相关的发展规划和地方性产业政策。负责全县的科技管理、信息产业、电力、成品油、煤炭行业及知识产权、防震抗震管理工作</w:t>
      </w:r>
      <w:r>
        <w:rPr>
          <w:rFonts w:hint="eastAsia" w:ascii="仿宋_GB2312" w:hAnsi="仿宋_GB2312" w:eastAsia="仿宋_GB2312" w:cs="仿宋_GB2312"/>
          <w:sz w:val="32"/>
          <w:szCs w:val="32"/>
        </w:rPr>
        <w:t>。</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蕉岭县科工商务管理局是2015年1月机构改革时设立的政府行政机关，内设二局、十一个股室。我局2015年底实有在职职工人数40人，离休2人，退休59人。全部都是财政供养人员。</w:t>
      </w:r>
    </w:p>
    <w:p>
      <w:pPr>
        <w:ind w:left="640"/>
        <w:rPr>
          <w:rFonts w:ascii="仿宋_GB2312" w:hAnsi="仿宋_GB2312" w:eastAsia="仿宋_GB2312" w:cs="仿宋_GB2312"/>
          <w:sz w:val="32"/>
          <w:szCs w:val="32"/>
        </w:rPr>
      </w:pP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科工商务局2016</w:t>
      </w:r>
      <w:r>
        <w:rPr>
          <w:rFonts w:hint="eastAsia" w:ascii="方正小标宋简体" w:hAnsi="方正小标宋简体" w:eastAsia="方正小标宋简体" w:cs="方正小标宋简体"/>
          <w:sz w:val="44"/>
          <w:szCs w:val="44"/>
        </w:rPr>
        <w:t>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747.37万元，比上年增加254.21万元，增长51.55%，主要原因是；一般公共服务356.46万元，比上年增加143.63万元，增长67.49%，社会保障和就业352.89万元，比上年增加91.78万元，比上年增长35.15%，住房保障支出20.16万元，比上年增长加14.09万元，比上年增长123.12%；支出预算747.37万元，比上年增加254.21万元，增长51.55%，主要原因是；一般公共服务356.46万元，比上年增加143.63万元，增长67.49%，社会保障和就业352.89万元，比上年增加91.78万元，比上年增长35.15%，住房保障支出20.16万元，比上年增长加14.09万元，比上年增长123.12%；</w:t>
      </w:r>
    </w:p>
    <w:p>
      <w:pPr>
        <w:ind w:firstLine="640"/>
        <w:rPr>
          <w:rFonts w:ascii="黑体" w:hAnsi="黑体" w:eastAsia="黑体" w:cs="黑体"/>
          <w:sz w:val="32"/>
          <w:szCs w:val="32"/>
        </w:rPr>
      </w:pP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10.5万元，比上年增加0.5万元，增长5%。其中：因公出国（境）费2万元，比上年增加2万元；公务用车购置及运行费6万元，比上年6万元，保持不变；公务接待费2.5万元，比上年减少1.5万元，下降37.5%。</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2016年，本部门机关运行经费安排18.47万元，比上年基本持平。</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截至2016年1月1日，本部门占有使用国有资产总体情况为：资产总额2245.3万元，其中：货币资金58.08万元，应收账款1936.9万元，固定资产230.9万元，无形资产19.42万元。现有车辆2辆，都是一般公务用车。</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autoSpaceDE w:val="0"/>
        <w:autoSpaceDN w:val="0"/>
        <w:adjustRightInd w:val="0"/>
        <w:rPr>
          <w:rFonts w:ascii="仿宋_GB2312" w:eastAsia="仿宋_GB2312" w:cs="仿宋_GB2312"/>
          <w:b/>
          <w:kern w:val="0"/>
          <w:sz w:val="32"/>
          <w:szCs w:val="32"/>
        </w:rPr>
      </w:pP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1、财政拨款收入：指县财政当年拨付的资金。</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2、一般公共服务（类）纪检事务（款）行政运行（项）：指本单位及参照公务员法管理的事业单位用于保障机构正常运行、开展日常工作的基本支出。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3、一般公共服务（类）商贸事务（款）行政运行（项）：指本单位及参照公务员法管理的事业单位用于保障机构正常运行、开展日常工作的基本支出。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4、一般公共服务（类）商贸事务（款）其他商贸事务（项）：其他用于商贸事务方面的支出。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5、一般公共服务（类）工商行政管理事务（款）行政运行（项）：指本单位及参照公务员法管理的事业单位用于保障机构正常运行、开展日常工作的基本支出。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6、科学技术支出（类）应用研究（款）社会公益研究（项）：反映从事卫生、劳动保护、计划生育、环境科学、农业等社会公益专项公益科研方面的支出。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7、科学技术支出（类）科技条件与服务（款）技术创新服务体系（项）：国家为企业提供信息、技术、中介等全方位服务和支持，建立健全企业服务体系等方面的支出。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8、科学技术支出（类）其他科学技术支出（款）科技奖励（项）：用于科学技术奖励方面的支出。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9、社会保障和就业（类）行政事业单位离退休（款）归口管理的行政单位离退休（项）：指本单位行政离退休人员的支出。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10、基本支出：指为保障机构正常运转、完成日常工作任务而发生的人员支出和公用支出。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11、项目支出：指在基本支出之外为完成特定行政任务和事业发展目标所发生的支出。</w:t>
      </w:r>
    </w:p>
    <w:p>
      <w:pPr>
        <w:autoSpaceDE w:val="0"/>
        <w:autoSpaceDN w:val="0"/>
        <w:adjustRightInd w:val="0"/>
        <w:ind w:firstLine="672" w:firstLineChars="210"/>
        <w:jc w:val="left"/>
        <w:rPr>
          <w:rFonts w:ascii="仿宋_GB2312" w:eastAsia="仿宋_GB2312" w:cs="仿宋_GB2312"/>
          <w:kern w:val="0"/>
          <w:sz w:val="32"/>
          <w:szCs w:val="32"/>
        </w:rPr>
      </w:pPr>
      <w:r>
        <w:rPr>
          <w:rFonts w:hint="eastAsia" w:ascii="仿宋_GB2312" w:eastAsia="仿宋_GB2312" w:cs="仿宋_GB2312"/>
          <w:kern w:val="0"/>
          <w:sz w:val="32"/>
          <w:szCs w:val="32"/>
        </w:rPr>
        <w:t>12、“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autoSpaceDE w:val="0"/>
        <w:autoSpaceDN w:val="0"/>
        <w:adjustRightInd w:val="0"/>
        <w:ind w:firstLine="512" w:firstLineChars="160"/>
        <w:jc w:val="left"/>
        <w:rPr>
          <w:sz w:val="32"/>
          <w:szCs w:val="32"/>
        </w:rPr>
      </w:pPr>
      <w:r>
        <w:rPr>
          <w:rFonts w:hint="eastAsia" w:ascii="仿宋_GB2312" w:eastAsia="仿宋_GB2312" w:cs="仿宋_GB2312"/>
          <w:kern w:val="0"/>
          <w:sz w:val="32"/>
          <w:szCs w:val="32"/>
        </w:rPr>
        <w:t>13、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center"/>
        <w:rPr>
          <w:rFonts w:ascii="方正小标宋简体" w:eastAsia="方正小标宋简体"/>
          <w:sz w:val="44"/>
          <w:szCs w:val="44"/>
        </w:rPr>
      </w:pP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16E25"/>
    <w:rsid w:val="00026152"/>
    <w:rsid w:val="00154FE4"/>
    <w:rsid w:val="00156614"/>
    <w:rsid w:val="00273FBA"/>
    <w:rsid w:val="00486889"/>
    <w:rsid w:val="0071256A"/>
    <w:rsid w:val="00716500"/>
    <w:rsid w:val="008431AE"/>
    <w:rsid w:val="00957E66"/>
    <w:rsid w:val="009E7DA7"/>
    <w:rsid w:val="00A738F3"/>
    <w:rsid w:val="00BC6A76"/>
    <w:rsid w:val="00C1471D"/>
    <w:rsid w:val="00D350E4"/>
    <w:rsid w:val="00EE4245"/>
    <w:rsid w:val="081D07C1"/>
    <w:rsid w:val="2F300128"/>
    <w:rsid w:val="658E0CA7"/>
    <w:rsid w:val="6D535020"/>
    <w:rsid w:val="78743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8</Pages>
  <Words>342</Words>
  <Characters>1952</Characters>
  <Lines>16</Lines>
  <Paragraphs>4</Paragraphs>
  <TotalTime>0</TotalTime>
  <ScaleCrop>false</ScaleCrop>
  <LinksUpToDate>false</LinksUpToDate>
  <CharactersWithSpaces>2290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2018-04-27T08:20:01Z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