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2016年蕉岭县蕉城镇中心幼儿园</w:t>
      </w:r>
    </w:p>
    <w:p>
      <w:pPr>
        <w:jc w:val="center"/>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ind w:firstLine="640" w:firstLineChars="200"/>
        <w:rPr>
          <w:rFonts w:ascii="黑体" w:hAnsi="黑体" w:eastAsia="黑体" w:cs="黑体"/>
          <w:sz w:val="32"/>
          <w:szCs w:val="32"/>
        </w:rPr>
      </w:pPr>
      <w:bookmarkStart w:id="0" w:name="_GoBack"/>
      <w:bookmarkEnd w:id="0"/>
      <w:r>
        <w:rPr>
          <w:rFonts w:hint="eastAsia" w:ascii="黑体" w:hAnsi="黑体" w:eastAsia="黑体" w:cs="黑体"/>
          <w:sz w:val="32"/>
          <w:szCs w:val="32"/>
        </w:rPr>
        <w:t>第一部分  蕉岭县蕉城镇中心幼儿园概况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蕉岭县蕉城镇中心幼儿园概况</w:t>
      </w:r>
    </w:p>
    <w:p>
      <w:pPr>
        <w:ind w:firstLine="321" w:firstLineChars="100"/>
        <w:rPr>
          <w:rFonts w:hint="eastAsia" w:ascii="仿宋" w:hAnsi="仿宋" w:eastAsia="仿宋" w:cs="仿宋"/>
          <w:b/>
          <w:bCs/>
          <w:sz w:val="32"/>
          <w:szCs w:val="32"/>
        </w:rPr>
      </w:pPr>
      <w:r>
        <w:rPr>
          <w:rFonts w:hint="eastAsia" w:ascii="仿宋" w:hAnsi="仿宋" w:eastAsia="仿宋" w:cs="仿宋"/>
          <w:b/>
          <w:bCs/>
          <w:sz w:val="32"/>
          <w:szCs w:val="32"/>
        </w:rPr>
        <w:t>一、主要职责</w:t>
      </w:r>
    </w:p>
    <w:p>
      <w:pPr>
        <w:widowControl/>
        <w:shd w:val="clear" w:color="auto" w:fill="FFFFFF"/>
        <w:wordWrap w:val="0"/>
        <w:spacing w:line="48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1.贯彻执行党和国家的教育方针、政策、法律和法规，坚持依法治教，依法办学。</w:t>
      </w:r>
    </w:p>
    <w:p>
      <w:pPr>
        <w:widowControl/>
        <w:shd w:val="clear" w:color="auto" w:fill="FFFFFF"/>
        <w:wordWrap w:val="0"/>
        <w:spacing w:line="48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2.根据区政府制定的教育事业发展规划，制定本园教育发展规划和计划并抓好组织实施和落实工作。</w:t>
      </w:r>
    </w:p>
    <w:p>
      <w:pPr>
        <w:widowControl/>
        <w:shd w:val="clear" w:color="auto" w:fill="FFFFFF"/>
        <w:wordWrap w:val="0"/>
        <w:spacing w:line="48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3.按照管理权限，负责对本学园的教师进行管理。</w:t>
      </w:r>
    </w:p>
    <w:p>
      <w:pPr>
        <w:widowControl/>
        <w:shd w:val="clear" w:color="auto" w:fill="FFFFFF"/>
        <w:wordWrap w:val="0"/>
        <w:spacing w:line="48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4.执行国家课程（课时）计划，开齐课程，开足课时，全面推进素质教育。</w:t>
      </w:r>
    </w:p>
    <w:p>
      <w:pPr>
        <w:widowControl/>
        <w:shd w:val="clear" w:color="auto" w:fill="FFFFFF"/>
        <w:wordWrap w:val="0"/>
        <w:spacing w:line="48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5.负责对学园教育和教学工作的业务指导、检查、评价，提高教育教学质量。</w:t>
      </w:r>
    </w:p>
    <w:p>
      <w:pPr>
        <w:widowControl/>
        <w:shd w:val="clear" w:color="auto" w:fill="FFFFFF"/>
        <w:wordWrap w:val="0"/>
        <w:spacing w:line="48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6.开展教育教学改革，促进学园发展。</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b/>
          <w:bCs/>
          <w:sz w:val="32"/>
          <w:szCs w:val="32"/>
        </w:rPr>
        <w:t xml:space="preserve"> 二、机构设置</w:t>
      </w:r>
    </w:p>
    <w:p>
      <w:pPr>
        <w:spacing w:line="288" w:lineRule="auto"/>
        <w:ind w:firstLine="643" w:firstLineChars="200"/>
        <w:rPr>
          <w:rFonts w:hint="eastAsia" w:ascii="仿宋" w:hAnsi="仿宋" w:eastAsia="仿宋" w:cs="仿宋"/>
          <w:b/>
          <w:sz w:val="32"/>
          <w:szCs w:val="32"/>
        </w:rPr>
      </w:pPr>
      <w:r>
        <w:rPr>
          <w:rFonts w:hint="eastAsia" w:ascii="仿宋" w:hAnsi="仿宋" w:eastAsia="仿宋" w:cs="仿宋"/>
          <w:b/>
          <w:sz w:val="32"/>
          <w:szCs w:val="32"/>
        </w:rPr>
        <w:t>（一）部门机构设置、职能</w:t>
      </w:r>
    </w:p>
    <w:p>
      <w:pPr>
        <w:spacing w:line="288" w:lineRule="auto"/>
        <w:ind w:firstLine="560" w:firstLineChars="200"/>
        <w:rPr>
          <w:rFonts w:hint="eastAsia" w:ascii="仿宋_GB2312" w:eastAsia="仿宋_GB2312"/>
          <w:sz w:val="32"/>
          <w:szCs w:val="32"/>
        </w:rPr>
      </w:pPr>
      <w:r>
        <w:rPr>
          <w:rFonts w:hint="eastAsia" w:ascii="仿宋" w:hAnsi="仿宋" w:eastAsia="仿宋" w:cs="仿宋"/>
          <w:kern w:val="0"/>
          <w:sz w:val="28"/>
          <w:szCs w:val="28"/>
          <w:lang w:val="en-US" w:eastAsia="zh-CN"/>
        </w:rPr>
        <w:t>1.</w:t>
      </w:r>
      <w:r>
        <w:rPr>
          <w:rFonts w:hint="eastAsia" w:ascii="仿宋" w:hAnsi="仿宋" w:eastAsia="仿宋" w:cs="仿宋"/>
          <w:kern w:val="0"/>
          <w:sz w:val="28"/>
          <w:szCs w:val="28"/>
        </w:rPr>
        <w:t>本部门</w:t>
      </w:r>
      <w:r>
        <w:rPr>
          <w:rFonts w:hint="eastAsia" w:ascii="仿宋" w:hAnsi="仿宋" w:eastAsia="仿宋" w:cs="仿宋"/>
          <w:kern w:val="0"/>
          <w:sz w:val="28"/>
          <w:szCs w:val="28"/>
          <w:lang w:eastAsia="zh-CN"/>
        </w:rPr>
        <w:t>无</w:t>
      </w:r>
      <w:r>
        <w:rPr>
          <w:rFonts w:hint="eastAsia" w:ascii="仿宋" w:hAnsi="仿宋" w:eastAsia="仿宋" w:cs="仿宋"/>
          <w:kern w:val="0"/>
          <w:sz w:val="28"/>
          <w:szCs w:val="28"/>
        </w:rPr>
        <w:t>下属单位</w:t>
      </w:r>
      <w:r>
        <w:rPr>
          <w:rFonts w:hint="eastAsia" w:ascii="仿宋" w:hAnsi="仿宋" w:eastAsia="仿宋" w:cs="仿宋"/>
          <w:kern w:val="0"/>
          <w:sz w:val="28"/>
          <w:szCs w:val="28"/>
          <w:lang w:eastAsia="zh-CN"/>
        </w:rPr>
        <w:t>，部门预算为本级预算</w:t>
      </w:r>
      <w:r>
        <w:rPr>
          <w:rFonts w:hint="eastAsia" w:ascii="仿宋" w:hAnsi="仿宋" w:eastAsia="仿宋" w:cs="仿宋"/>
          <w:kern w:val="0"/>
          <w:sz w:val="28"/>
          <w:szCs w:val="28"/>
        </w:rPr>
        <w:t>。</w:t>
      </w:r>
    </w:p>
    <w:p>
      <w:pPr>
        <w:widowControl/>
        <w:shd w:val="clear" w:color="auto" w:fill="FFFFFF"/>
        <w:wordWrap w:val="0"/>
        <w:spacing w:line="48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2.</w:t>
      </w:r>
      <w:r>
        <w:rPr>
          <w:rFonts w:hint="eastAsia" w:ascii="仿宋" w:hAnsi="仿宋" w:eastAsia="仿宋" w:cs="仿宋"/>
          <w:kern w:val="0"/>
          <w:sz w:val="28"/>
          <w:szCs w:val="28"/>
        </w:rPr>
        <w:t>蕉岭县蕉城镇中心幼儿园是隶属蕉岭县教育局管理的事业单位，我园为一级预算单位，无所属二级预算单位，内设5个内设机构：园长室、业务园长室、保健室、财务室、教研组，各部门互相协调，为教育教学服务。学校未购置车辆。</w:t>
      </w:r>
    </w:p>
    <w:p>
      <w:pPr>
        <w:spacing w:line="288"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（二）人员构成情况</w:t>
      </w:r>
    </w:p>
    <w:p>
      <w:pPr>
        <w:widowControl/>
        <w:shd w:val="clear" w:color="auto" w:fill="FFFFFF"/>
        <w:wordWrap w:val="0"/>
        <w:spacing w:line="480" w:lineRule="auto"/>
        <w:ind w:firstLine="840" w:firstLineChars="300"/>
        <w:jc w:val="left"/>
        <w:rPr>
          <w:rFonts w:hint="eastAsia" w:ascii="仿宋" w:hAnsi="仿宋" w:eastAsia="仿宋" w:cs="仿宋"/>
          <w:kern w:val="0"/>
          <w:sz w:val="28"/>
          <w:szCs w:val="28"/>
        </w:rPr>
      </w:pPr>
      <w:r>
        <w:rPr>
          <w:rFonts w:hint="eastAsia" w:ascii="仿宋" w:hAnsi="仿宋" w:eastAsia="仿宋" w:cs="仿宋"/>
          <w:kern w:val="0"/>
          <w:sz w:val="28"/>
          <w:szCs w:val="28"/>
        </w:rPr>
        <w:t>列入本年度蕉岭县蕉城镇中心幼儿园预算编制的人员构成如下：编制16人、实有在职人员15人、退休人员2人。</w:t>
      </w:r>
    </w:p>
    <w:p>
      <w:pPr>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（三）预算年度的主要工作任务</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一、幼儿园基本情况</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园地处蕉岭县蕉城镇，创办于2014年，园舍规划别致，环境优美，配套设施完善。目前设有6个教学班，就读幼儿305人，全园教职工30人，其中正式教工15人，聘请教工15人。多年来，我园以文明的园风、一流的服务得到社会各界的好评和广大家长的信任与赞誉，成为家长与幼儿向往的欢乐园。</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二、幼儿园办学理念</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幼儿园远景：创造温馨的教育环境；让每一个孩子受到健康，快乐，活泼，可爱的教育，获得和谐发展，发掘潜能，孕育心智。</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幼儿园园志：爱国、爱园、爱家、爱人 </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幼儿园园训：诚心待同志、真心待孩子、热心待家长、全心待工作</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三、幼儿发展目标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健康活泼又自信，友好合作善交往，兴趣广泛乐表现，自主发展会探究，学会关爱有责任。</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四、家乡传统文化教育目标：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弘扬家乡传统文化，从情感、认知、表达三大领域入手，使3-6岁幼儿充分运用各种感官发展其各种能力，培养幼儿对本土文化的兴趣，拓宽知识和视野，热爱中国的民俗文化。培养幼儿初步的观察力、想象力、创造力，陶冶情操，提高民族传统文化的审美能力。培养积极健康的情感和作为中国人的自豪感，使家乡、民族传统文化得以继承、发扬和再创。</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五、管理目标：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全面落实《幼儿园工作规程》、课改的精神，发扬科学民主、求真务实、开拓创新、惜时高效的管理风格，强化分层管理，形成团结协作的管理网络，建全"四制"（岗位责任制、聘任制、考核奖惩制、奖金分配制），建立办园的章程，落实办园章程形成良性运行机制。</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六、教学质量目标：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提倡探索创新，拓展园本课程开发的内容、途径和方法，通过多种融合教育手段，确立幼儿在活动中的主体地位，提高保教质量，促进幼儿健康快乐成长。</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七、教育科研目标：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以科研为先导，以园本课题研究为园教学特色，构建切合实际的课程体系，做到每个教研组都有课题、教师人人参与课题的研究，形成教科研网络，引领教师向研究型发展。</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八、队伍建设目标：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努力抓好文明集体的工程建设，树立以"幼儿为本"的教育理念，立足自培，构建园本培训新模式，促教专业化成长，提倡"精一、能二、会三"，建设一支"敬业、爱生、创新、奉献"的师资队伍。</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九、硬件建设目标：</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园容园貌：整洁、优美、个性化、实用化</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教学设施：（1）创设拥有现代化设备又具有与幼儿产生互动的教育教学环境；</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（2）建设安全、宏扬家乡文化的、处处蕴涵本土文化、民族文化气息的良好的户内户外活动环境。</w:t>
      </w:r>
    </w:p>
    <w:p>
      <w:pPr>
        <w:rPr>
          <w:rFonts w:hint="eastAsia" w:ascii="仿宋" w:hAnsi="仿宋" w:eastAsia="仿宋" w:cs="仿宋"/>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pPr>
        <w:spacing w:line="288" w:lineRule="auto"/>
        <w:ind w:firstLine="800" w:firstLineChars="250"/>
        <w:rPr>
          <w:rFonts w:asciiTheme="minorEastAsia" w:hAnsiTheme="minorEastAsia"/>
          <w:sz w:val="32"/>
          <w:szCs w:val="32"/>
        </w:rPr>
      </w:pPr>
      <w:r>
        <w:rPr>
          <w:rFonts w:hint="eastAsia" w:asciiTheme="minorEastAsia" w:hAnsiTheme="minorEastAsia"/>
          <w:sz w:val="32"/>
          <w:szCs w:val="32"/>
        </w:rPr>
        <w:t>详见：蕉岭县蕉城镇中心幼儿园2016年度部门预算公开情况表（公开01表-公开11表）</w:t>
      </w:r>
    </w:p>
    <w:p>
      <w:pPr>
        <w:ind w:firstLine="1155" w:firstLineChars="550"/>
      </w:pPr>
    </w:p>
    <w:p>
      <w:pPr>
        <w:ind w:firstLine="1100" w:firstLineChars="25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pPr>
      <w:r>
        <w:rPr>
          <w:rFonts w:hint="eastAsia" w:ascii="方正小标宋简体" w:hAnsi="方正小标宋简体" w:eastAsia="方正小标宋简体" w:cs="方正小标宋简体"/>
          <w:sz w:val="44"/>
          <w:szCs w:val="44"/>
        </w:rPr>
        <w:t>第三部分  2016年部门预算情况说明</w:t>
      </w:r>
    </w:p>
    <w:p>
      <w:pPr>
        <w:spacing w:line="288" w:lineRule="auto"/>
        <w:ind w:firstLine="643" w:firstLineChars="200"/>
        <w:outlineLvl w:val="0"/>
        <w:rPr>
          <w:rFonts w:hint="eastAsia" w:ascii="仿宋" w:hAnsi="仿宋" w:eastAsia="仿宋" w:cs="仿宋"/>
          <w:b/>
          <w:sz w:val="32"/>
          <w:szCs w:val="32"/>
        </w:rPr>
      </w:pPr>
      <w:r>
        <w:rPr>
          <w:rFonts w:hint="eastAsia" w:ascii="仿宋" w:hAnsi="仿宋" w:eastAsia="仿宋" w:cs="仿宋"/>
          <w:b/>
          <w:sz w:val="32"/>
          <w:szCs w:val="32"/>
        </w:rPr>
        <w:t>一、收入预算说明</w:t>
      </w:r>
    </w:p>
    <w:p>
      <w:pPr>
        <w:spacing w:line="288"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收入预算总规模、各项收入预算如下：</w:t>
      </w:r>
    </w:p>
    <w:p>
      <w:pPr>
        <w:ind w:firstLine="640"/>
        <w:rPr>
          <w:rFonts w:hint="eastAsia" w:ascii="仿宋" w:hAnsi="仿宋" w:eastAsia="仿宋" w:cs="仿宋"/>
          <w:sz w:val="32"/>
          <w:szCs w:val="32"/>
        </w:rPr>
      </w:pPr>
      <w:r>
        <w:rPr>
          <w:rFonts w:hint="eastAsia" w:ascii="仿宋" w:hAnsi="仿宋" w:eastAsia="仿宋" w:cs="仿宋"/>
          <w:sz w:val="32"/>
          <w:szCs w:val="32"/>
        </w:rPr>
        <w:t>2016年收入预算</w:t>
      </w:r>
      <w:r>
        <w:rPr>
          <w:rFonts w:hint="eastAsia" w:ascii="仿宋" w:hAnsi="仿宋" w:eastAsia="仿宋" w:cs="仿宋"/>
          <w:kern w:val="0"/>
          <w:sz w:val="32"/>
          <w:szCs w:val="32"/>
        </w:rPr>
        <w:t>128．81</w:t>
      </w:r>
      <w:r>
        <w:rPr>
          <w:rFonts w:hint="eastAsia" w:ascii="仿宋" w:hAnsi="仿宋" w:eastAsia="仿宋" w:cs="仿宋"/>
          <w:sz w:val="32"/>
          <w:szCs w:val="32"/>
        </w:rPr>
        <w:t xml:space="preserve">万元，其中：财政拨款收入    </w:t>
      </w:r>
      <w:r>
        <w:rPr>
          <w:rFonts w:hint="eastAsia" w:ascii="仿宋" w:hAnsi="仿宋" w:eastAsia="仿宋" w:cs="仿宋"/>
          <w:kern w:val="0"/>
          <w:sz w:val="32"/>
          <w:szCs w:val="32"/>
        </w:rPr>
        <w:t>算128．81</w:t>
      </w:r>
      <w:r>
        <w:rPr>
          <w:rFonts w:hint="eastAsia" w:ascii="仿宋" w:hAnsi="仿宋" w:eastAsia="仿宋" w:cs="仿宋"/>
          <w:sz w:val="32"/>
          <w:szCs w:val="32"/>
        </w:rPr>
        <w:t>万元。比上年增加80.47万元，增长166.50%，主要原因是人员经费收入增加；支出预算128．81万元，比上年增加80.47万元，增长166.50%，主要原因是人员经费收入增加。</w:t>
      </w:r>
    </w:p>
    <w:p>
      <w:pPr>
        <w:widowControl/>
        <w:shd w:val="clear" w:color="auto" w:fill="FFFFFF"/>
        <w:spacing w:line="471" w:lineRule="atLeast"/>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二、“三公”经费安排情况说明</w:t>
      </w:r>
    </w:p>
    <w:p>
      <w:pPr>
        <w:widowControl/>
        <w:shd w:val="clear" w:color="auto" w:fill="FFFFFF"/>
        <w:spacing w:line="471" w:lineRule="atLeast"/>
        <w:ind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2016年“三公”经费财政拨款预算数0万元，其中：因公出国（境）经费0万元，公务接待费0万元，公务用车购置及运行维护费0万元（公务用车购置费0万元，公务用车运行维护费0万元）。</w:t>
      </w:r>
    </w:p>
    <w:p>
      <w:pPr>
        <w:widowControl/>
        <w:shd w:val="clear" w:color="auto" w:fill="FFFFFF"/>
        <w:spacing w:line="620" w:lineRule="atLeast"/>
        <w:ind w:firstLine="640"/>
        <w:jc w:val="left"/>
        <w:rPr>
          <w:rFonts w:hint="eastAsia" w:ascii="仿宋" w:hAnsi="仿宋" w:eastAsia="仿宋" w:cs="仿宋"/>
          <w:kern w:val="0"/>
          <w:sz w:val="30"/>
          <w:szCs w:val="30"/>
        </w:rPr>
      </w:pPr>
      <w:r>
        <w:rPr>
          <w:rFonts w:hint="eastAsia" w:ascii="仿宋" w:hAnsi="仿宋" w:eastAsia="仿宋" w:cs="仿宋"/>
          <w:b/>
          <w:bCs/>
          <w:kern w:val="0"/>
          <w:sz w:val="30"/>
          <w:szCs w:val="30"/>
        </w:rPr>
        <w:t>（一）因公出国（境）经费</w:t>
      </w:r>
    </w:p>
    <w:p>
      <w:pPr>
        <w:widowControl/>
        <w:shd w:val="clear" w:color="auto" w:fill="FFFFFF"/>
        <w:spacing w:line="620" w:lineRule="atLeast"/>
        <w:ind w:firstLine="640"/>
        <w:jc w:val="left"/>
        <w:rPr>
          <w:rFonts w:hint="eastAsia" w:ascii="仿宋" w:hAnsi="仿宋" w:eastAsia="仿宋" w:cs="仿宋"/>
          <w:kern w:val="0"/>
          <w:sz w:val="30"/>
          <w:szCs w:val="30"/>
        </w:rPr>
      </w:pPr>
      <w:r>
        <w:rPr>
          <w:rFonts w:hint="eastAsia" w:ascii="仿宋" w:hAnsi="仿宋" w:eastAsia="仿宋" w:cs="仿宋"/>
          <w:kern w:val="0"/>
          <w:sz w:val="30"/>
          <w:szCs w:val="30"/>
        </w:rPr>
        <w:t>2016无出国（境）经费预算,与2015年预算持平。</w:t>
      </w:r>
    </w:p>
    <w:p>
      <w:pPr>
        <w:widowControl/>
        <w:shd w:val="clear" w:color="auto" w:fill="FFFFFF"/>
        <w:spacing w:line="620" w:lineRule="atLeast"/>
        <w:ind w:firstLine="640"/>
        <w:jc w:val="left"/>
        <w:rPr>
          <w:rFonts w:hint="eastAsia" w:ascii="仿宋" w:hAnsi="仿宋" w:eastAsia="仿宋" w:cs="仿宋"/>
          <w:kern w:val="0"/>
          <w:sz w:val="30"/>
          <w:szCs w:val="30"/>
        </w:rPr>
      </w:pPr>
      <w:r>
        <w:rPr>
          <w:rFonts w:hint="eastAsia" w:ascii="仿宋" w:hAnsi="仿宋" w:eastAsia="仿宋" w:cs="仿宋"/>
          <w:b/>
          <w:bCs/>
          <w:kern w:val="0"/>
          <w:sz w:val="30"/>
          <w:szCs w:val="30"/>
        </w:rPr>
        <w:t>（二）公务接待费</w:t>
      </w:r>
    </w:p>
    <w:p>
      <w:pPr>
        <w:widowControl/>
        <w:shd w:val="clear" w:color="auto" w:fill="FFFFFF"/>
        <w:spacing w:line="620" w:lineRule="atLeast"/>
        <w:ind w:firstLine="640"/>
        <w:jc w:val="left"/>
        <w:rPr>
          <w:rFonts w:hint="eastAsia" w:ascii="仿宋" w:hAnsi="仿宋" w:eastAsia="仿宋" w:cs="仿宋"/>
          <w:kern w:val="0"/>
          <w:sz w:val="30"/>
          <w:szCs w:val="30"/>
        </w:rPr>
      </w:pPr>
      <w:r>
        <w:rPr>
          <w:rFonts w:hint="eastAsia" w:ascii="仿宋" w:hAnsi="仿宋" w:eastAsia="仿宋" w:cs="仿宋"/>
          <w:kern w:val="0"/>
          <w:sz w:val="30"/>
          <w:szCs w:val="30"/>
        </w:rPr>
        <w:t>2016年安排公务接待费预算0万元.较2015年预算下降100%。</w:t>
      </w:r>
    </w:p>
    <w:p>
      <w:pPr>
        <w:widowControl/>
        <w:shd w:val="clear" w:color="auto" w:fill="FFFFFF"/>
        <w:spacing w:line="579" w:lineRule="atLeast"/>
        <w:ind w:firstLine="640"/>
        <w:jc w:val="left"/>
        <w:rPr>
          <w:rFonts w:hint="eastAsia" w:ascii="仿宋" w:hAnsi="仿宋" w:eastAsia="仿宋" w:cs="仿宋"/>
          <w:kern w:val="0"/>
          <w:sz w:val="30"/>
          <w:szCs w:val="30"/>
        </w:rPr>
      </w:pPr>
      <w:r>
        <w:rPr>
          <w:rFonts w:hint="eastAsia" w:ascii="仿宋" w:hAnsi="仿宋" w:eastAsia="仿宋" w:cs="仿宋"/>
          <w:b/>
          <w:bCs/>
          <w:kern w:val="0"/>
          <w:sz w:val="30"/>
          <w:szCs w:val="30"/>
        </w:rPr>
        <w:t>（三）公务用车购置及运行维护费</w:t>
      </w:r>
    </w:p>
    <w:p>
      <w:pPr>
        <w:widowControl/>
        <w:shd w:val="clear" w:color="auto" w:fill="FFFFFF"/>
        <w:spacing w:line="620" w:lineRule="atLeast"/>
        <w:ind w:firstLine="640"/>
        <w:jc w:val="left"/>
        <w:rPr>
          <w:rFonts w:hint="eastAsia" w:ascii="仿宋" w:hAnsi="仿宋" w:eastAsia="仿宋" w:cs="仿宋"/>
          <w:kern w:val="0"/>
          <w:sz w:val="30"/>
          <w:szCs w:val="30"/>
        </w:rPr>
      </w:pPr>
      <w:r>
        <w:rPr>
          <w:rFonts w:hint="eastAsia" w:ascii="仿宋" w:hAnsi="仿宋" w:eastAsia="仿宋" w:cs="仿宋"/>
          <w:kern w:val="0"/>
          <w:sz w:val="30"/>
          <w:szCs w:val="30"/>
        </w:rPr>
        <w:t>学校未购置车辆,故无此项费用。</w:t>
      </w:r>
    </w:p>
    <w:p>
      <w:pPr>
        <w:pStyle w:val="9"/>
        <w:numPr>
          <w:ilvl w:val="0"/>
          <w:numId w:val="3"/>
        </w:numPr>
        <w:ind w:firstLineChars="0"/>
        <w:rPr>
          <w:rFonts w:hint="eastAsia" w:ascii="仿宋" w:hAnsi="仿宋" w:eastAsia="仿宋" w:cs="仿宋"/>
          <w:b/>
          <w:bCs/>
          <w:sz w:val="32"/>
          <w:szCs w:val="32"/>
        </w:rPr>
      </w:pPr>
      <w:r>
        <w:rPr>
          <w:rFonts w:hint="eastAsia" w:ascii="仿宋" w:hAnsi="仿宋" w:eastAsia="仿宋" w:cs="仿宋"/>
          <w:b/>
          <w:bCs/>
          <w:sz w:val="32"/>
          <w:szCs w:val="32"/>
        </w:rPr>
        <w:t>机关运行经费安排情况</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2016年，本部门没有此项机关运行经费安排</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四、政府采购情况</w:t>
      </w:r>
    </w:p>
    <w:p>
      <w:pPr>
        <w:rPr>
          <w:rFonts w:hint="eastAsia" w:ascii="仿宋" w:hAnsi="仿宋" w:eastAsia="仿宋" w:cs="仿宋"/>
          <w:sz w:val="32"/>
          <w:szCs w:val="32"/>
        </w:rPr>
      </w:pPr>
      <w:r>
        <w:rPr>
          <w:rFonts w:hint="eastAsia" w:ascii="仿宋" w:hAnsi="仿宋" w:eastAsia="仿宋" w:cs="仿宋"/>
          <w:sz w:val="32"/>
          <w:szCs w:val="32"/>
        </w:rPr>
        <w:t xml:space="preserve">    2016年本部门没有此项政府采购安排</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五、国有资产占有使用情况</w:t>
      </w:r>
    </w:p>
    <w:p>
      <w:pPr>
        <w:ind w:firstLine="640"/>
        <w:rPr>
          <w:rFonts w:hint="eastAsia" w:ascii="仿宋" w:hAnsi="仿宋" w:eastAsia="仿宋" w:cs="仿宋"/>
          <w:sz w:val="32"/>
          <w:szCs w:val="32"/>
        </w:rPr>
      </w:pPr>
      <w:r>
        <w:rPr>
          <w:rFonts w:hint="eastAsia" w:ascii="仿宋" w:hAnsi="仿宋" w:eastAsia="仿宋" w:cs="仿宋"/>
          <w:sz w:val="32"/>
          <w:szCs w:val="32"/>
        </w:rPr>
        <w:t>截至2017年1月1日，共有房屋1658平方米，其中：办公用房776平方米，其他1492平方米；（二）单价在20万元以上的设备0（台、套）；（三）车辆0辆。</w:t>
      </w:r>
    </w:p>
    <w:p>
      <w:pPr>
        <w:ind w:firstLine="640"/>
        <w:rPr>
          <w:rFonts w:hint="eastAsia" w:ascii="仿宋" w:hAnsi="仿宋" w:eastAsia="仿宋" w:cs="仿宋"/>
          <w:b/>
          <w:bCs/>
          <w:sz w:val="32"/>
          <w:szCs w:val="32"/>
        </w:rPr>
      </w:pPr>
      <w:r>
        <w:rPr>
          <w:rFonts w:hint="eastAsia" w:ascii="仿宋" w:hAnsi="仿宋" w:eastAsia="仿宋" w:cs="仿宋"/>
          <w:b/>
          <w:bCs/>
          <w:sz w:val="32"/>
          <w:szCs w:val="32"/>
        </w:rPr>
        <w:t>六、预算绩效信息公开情况</w:t>
      </w:r>
    </w:p>
    <w:p>
      <w:pPr>
        <w:ind w:firstLine="640"/>
        <w:rPr>
          <w:rFonts w:hint="eastAsia" w:ascii="仿宋_GB2312" w:hAnsi="仿宋_GB2312" w:eastAsia="仿宋_GB2312" w:cs="仿宋_GB2312"/>
          <w:sz w:val="32"/>
          <w:szCs w:val="32"/>
        </w:rPr>
      </w:pPr>
      <w:r>
        <w:rPr>
          <w:rFonts w:hint="eastAsia" w:ascii="仿宋" w:hAnsi="仿宋" w:eastAsia="仿宋" w:cs="仿宋"/>
          <w:sz w:val="32"/>
          <w:szCs w:val="32"/>
        </w:rPr>
        <w:t>2016年，本部门未开展预算绩效信息公开的有关工作。</w:t>
      </w:r>
    </w:p>
    <w:p>
      <w:pPr>
        <w:spacing w:line="288" w:lineRule="auto"/>
        <w:ind w:firstLine="643" w:firstLineChars="200"/>
        <w:jc w:val="center"/>
        <w:rPr>
          <w:rFonts w:hint="eastAsia" w:asciiTheme="minorEastAsia" w:hAnsiTheme="minorEastAsia"/>
          <w:b/>
          <w:sz w:val="32"/>
          <w:szCs w:val="32"/>
        </w:rPr>
      </w:pPr>
      <w:r>
        <w:rPr>
          <w:rFonts w:hint="eastAsia" w:asciiTheme="minorEastAsia" w:hAnsiTheme="minorEastAsia"/>
          <w:b/>
          <w:sz w:val="32"/>
          <w:szCs w:val="32"/>
        </w:rPr>
        <w:br w:type="page"/>
      </w:r>
    </w:p>
    <w:p>
      <w:pPr>
        <w:spacing w:line="288" w:lineRule="auto"/>
        <w:ind w:firstLine="643" w:firstLineChars="200"/>
        <w:jc w:val="center"/>
        <w:rPr>
          <w:rFonts w:hint="eastAsia" w:asciiTheme="minorEastAsia" w:hAnsiTheme="minorEastAsia"/>
          <w:b/>
          <w:sz w:val="32"/>
          <w:szCs w:val="32"/>
        </w:rPr>
      </w:pPr>
      <w:r>
        <w:rPr>
          <w:rFonts w:hint="eastAsia" w:asciiTheme="minorEastAsia" w:hAnsiTheme="minorEastAsia"/>
          <w:b/>
          <w:sz w:val="32"/>
          <w:szCs w:val="32"/>
        </w:rPr>
        <w:t>第四部分  名词解释</w:t>
      </w:r>
    </w:p>
    <w:p>
      <w:pPr>
        <w:numPr>
          <w:ilvl w:val="0"/>
          <w:numId w:val="4"/>
        </w:numPr>
        <w:spacing w:line="288" w:lineRule="auto"/>
        <w:ind w:firstLine="630" w:firstLineChars="196"/>
        <w:rPr>
          <w:rFonts w:hint="eastAsia" w:ascii="仿宋" w:hAnsi="仿宋" w:eastAsia="仿宋" w:cs="仿宋"/>
          <w:kern w:val="0"/>
          <w:sz w:val="30"/>
          <w:szCs w:val="30"/>
        </w:rPr>
      </w:pPr>
      <w:r>
        <w:rPr>
          <w:rFonts w:hint="eastAsia" w:ascii="仿宋" w:hAnsi="仿宋" w:eastAsia="仿宋" w:cs="仿宋"/>
          <w:b/>
          <w:sz w:val="32"/>
          <w:szCs w:val="32"/>
        </w:rPr>
        <w:t>财政拨款收入</w:t>
      </w:r>
      <w:r>
        <w:rPr>
          <w:rFonts w:hint="eastAsia" w:ascii="仿宋" w:hAnsi="仿宋" w:eastAsia="仿宋" w:cs="仿宋"/>
          <w:kern w:val="0"/>
          <w:sz w:val="30"/>
          <w:szCs w:val="30"/>
        </w:rPr>
        <w:t>：指财政当年拨付的资金事业收入。</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二、</w:t>
      </w:r>
      <w:r>
        <w:rPr>
          <w:rFonts w:hint="eastAsia" w:ascii="仿宋" w:hAnsi="仿宋" w:eastAsia="仿宋" w:cs="仿宋"/>
          <w:b/>
          <w:sz w:val="32"/>
          <w:szCs w:val="32"/>
        </w:rPr>
        <w:t>事业收入</w:t>
      </w:r>
      <w:r>
        <w:rPr>
          <w:rFonts w:hint="eastAsia" w:ascii="仿宋" w:hAnsi="仿宋" w:eastAsia="仿宋" w:cs="仿宋"/>
          <w:kern w:val="0"/>
          <w:sz w:val="30"/>
          <w:szCs w:val="30"/>
        </w:rPr>
        <w:t>：指事业单位开展专业业务活动及辅动所取得的收入。</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三、</w:t>
      </w:r>
      <w:r>
        <w:rPr>
          <w:rFonts w:hint="eastAsia" w:ascii="仿宋" w:hAnsi="仿宋" w:eastAsia="仿宋" w:cs="仿宋"/>
          <w:b/>
          <w:sz w:val="32"/>
          <w:szCs w:val="32"/>
        </w:rPr>
        <w:t>经营收入</w:t>
      </w:r>
      <w:r>
        <w:rPr>
          <w:rFonts w:hint="eastAsia" w:ascii="仿宋" w:hAnsi="仿宋" w:eastAsia="仿宋" w:cs="仿宋"/>
          <w:kern w:val="0"/>
          <w:sz w:val="30"/>
          <w:szCs w:val="30"/>
        </w:rPr>
        <w:t>：指事业单位在专业业务活动及其辅助活动之外开展非独立核算经营活动取得的收入。</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四、</w:t>
      </w:r>
      <w:r>
        <w:rPr>
          <w:rFonts w:hint="eastAsia" w:ascii="仿宋" w:hAnsi="仿宋" w:eastAsia="仿宋" w:cs="仿宋"/>
          <w:b/>
          <w:sz w:val="32"/>
          <w:szCs w:val="32"/>
        </w:rPr>
        <w:t>其他收入</w:t>
      </w:r>
      <w:r>
        <w:rPr>
          <w:rFonts w:hint="eastAsia" w:ascii="仿宋" w:hAnsi="仿宋" w:eastAsia="仿宋" w:cs="仿宋"/>
          <w:kern w:val="0"/>
          <w:sz w:val="30"/>
          <w:szCs w:val="30"/>
        </w:rPr>
        <w:t>：指除上述“财政拨款收入”、“事业收入”、“经营收入”等以外的收入。主要是非本级财政拨款、存款利息收入、事业单位固定资产出租收入等。</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五、</w:t>
      </w:r>
      <w:r>
        <w:rPr>
          <w:rFonts w:hint="eastAsia" w:ascii="仿宋" w:hAnsi="仿宋" w:eastAsia="仿宋" w:cs="仿宋"/>
          <w:b/>
          <w:sz w:val="32"/>
          <w:szCs w:val="32"/>
        </w:rPr>
        <w:t>用事业基金弥补收支差额</w:t>
      </w:r>
      <w:r>
        <w:rPr>
          <w:rFonts w:hint="eastAsia" w:ascii="仿宋" w:hAnsi="仿宋" w:eastAsia="仿宋" w:cs="仿宋"/>
          <w:kern w:val="0"/>
          <w:sz w:val="30"/>
          <w:szCs w:val="30"/>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六、</w:t>
      </w:r>
      <w:r>
        <w:rPr>
          <w:rFonts w:hint="eastAsia" w:ascii="仿宋" w:hAnsi="仿宋" w:eastAsia="仿宋" w:cs="仿宋"/>
          <w:b/>
          <w:sz w:val="32"/>
          <w:szCs w:val="32"/>
        </w:rPr>
        <w:t>年初结转和结余</w:t>
      </w:r>
      <w:r>
        <w:rPr>
          <w:rFonts w:hint="eastAsia" w:ascii="仿宋" w:hAnsi="仿宋" w:eastAsia="仿宋" w:cs="仿宋"/>
          <w:kern w:val="0"/>
          <w:sz w:val="30"/>
          <w:szCs w:val="30"/>
        </w:rPr>
        <w:t>：指以前年度尚未完成、结转到本年按有关规定继续使用的资金。</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七、</w:t>
      </w:r>
      <w:r>
        <w:rPr>
          <w:rFonts w:hint="eastAsia" w:ascii="仿宋" w:hAnsi="仿宋" w:eastAsia="仿宋" w:cs="仿宋"/>
          <w:b/>
          <w:sz w:val="32"/>
          <w:szCs w:val="32"/>
        </w:rPr>
        <w:t>结余分配</w:t>
      </w:r>
      <w:r>
        <w:rPr>
          <w:rFonts w:hint="eastAsia" w:ascii="仿宋" w:hAnsi="仿宋" w:eastAsia="仿宋" w:cs="仿宋"/>
          <w:kern w:val="0"/>
          <w:sz w:val="30"/>
          <w:szCs w:val="30"/>
        </w:rPr>
        <w:t>：指事业事位按规定提取的职工福利基金、事业基金和缴纳的所得税，以及建设单位按规定应交回的基本建设竣工项目结余资金。</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八、</w:t>
      </w:r>
      <w:r>
        <w:rPr>
          <w:rFonts w:hint="eastAsia" w:ascii="仿宋" w:hAnsi="仿宋" w:eastAsia="仿宋" w:cs="仿宋"/>
          <w:b/>
          <w:sz w:val="32"/>
          <w:szCs w:val="32"/>
        </w:rPr>
        <w:t>年末结转和结余</w:t>
      </w:r>
      <w:r>
        <w:rPr>
          <w:rFonts w:hint="eastAsia" w:ascii="仿宋" w:hAnsi="仿宋" w:eastAsia="仿宋" w:cs="仿宋"/>
          <w:kern w:val="0"/>
          <w:sz w:val="30"/>
          <w:szCs w:val="30"/>
        </w:rPr>
        <w:t>：指本年度或以前年度预算安排、因客观条件发生变化无法按原计划实施，需要延迟到以后年度按有关规定继续使用的资金。</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九</w:t>
      </w:r>
      <w:r>
        <w:rPr>
          <w:rFonts w:hint="eastAsia" w:ascii="仿宋" w:hAnsi="仿宋" w:eastAsia="仿宋" w:cs="仿宋"/>
          <w:b/>
          <w:sz w:val="32"/>
          <w:szCs w:val="32"/>
        </w:rPr>
        <w:t>、基本支出</w:t>
      </w:r>
      <w:r>
        <w:rPr>
          <w:rFonts w:hint="eastAsia" w:ascii="仿宋" w:hAnsi="仿宋" w:eastAsia="仿宋" w:cs="仿宋"/>
          <w:kern w:val="0"/>
          <w:sz w:val="30"/>
          <w:szCs w:val="30"/>
        </w:rPr>
        <w:t>：指为保障机构正常运转、完成日常工作任务面发生的人员支出和公用支出。</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十、</w:t>
      </w:r>
      <w:r>
        <w:rPr>
          <w:rFonts w:hint="eastAsia" w:ascii="仿宋" w:hAnsi="仿宋" w:eastAsia="仿宋" w:cs="仿宋"/>
          <w:b/>
          <w:sz w:val="32"/>
          <w:szCs w:val="32"/>
        </w:rPr>
        <w:t>项目支出</w:t>
      </w:r>
      <w:r>
        <w:rPr>
          <w:rFonts w:hint="eastAsia" w:ascii="仿宋" w:hAnsi="仿宋" w:eastAsia="仿宋" w:cs="仿宋"/>
          <w:kern w:val="0"/>
          <w:sz w:val="30"/>
          <w:szCs w:val="30"/>
        </w:rPr>
        <w:t>：指在基本支出这外为完成特定行政任务和事业发展目标所发生的支出。</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十一、</w:t>
      </w:r>
      <w:r>
        <w:rPr>
          <w:rFonts w:hint="eastAsia" w:ascii="仿宋" w:hAnsi="仿宋" w:eastAsia="仿宋" w:cs="仿宋"/>
          <w:b/>
          <w:sz w:val="32"/>
          <w:szCs w:val="32"/>
        </w:rPr>
        <w:t>经营支出</w:t>
      </w:r>
      <w:r>
        <w:rPr>
          <w:rFonts w:hint="eastAsia" w:ascii="仿宋" w:hAnsi="仿宋" w:eastAsia="仿宋" w:cs="仿宋"/>
          <w:kern w:val="0"/>
          <w:sz w:val="30"/>
          <w:szCs w:val="30"/>
        </w:rPr>
        <w:t>：指事业单位在专业业务活动及其辅助活动之外开展非独立核算经营活动所发生的支出。</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十二、</w:t>
      </w:r>
      <w:r>
        <w:rPr>
          <w:rFonts w:hint="eastAsia" w:ascii="仿宋" w:hAnsi="仿宋" w:eastAsia="仿宋" w:cs="仿宋"/>
          <w:b/>
          <w:sz w:val="32"/>
          <w:szCs w:val="32"/>
        </w:rPr>
        <w:t>“三公”经费</w:t>
      </w:r>
      <w:r>
        <w:rPr>
          <w:rFonts w:hint="eastAsia" w:ascii="仿宋" w:hAnsi="仿宋" w:eastAsia="仿宋" w:cs="仿宋"/>
          <w:kern w:val="0"/>
          <w:sz w:val="30"/>
          <w:szCs w:val="30"/>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588" w:firstLineChars="196"/>
      </w:pPr>
      <w:r>
        <w:rPr>
          <w:rFonts w:hint="eastAsia" w:ascii="仿宋" w:hAnsi="仿宋" w:eastAsia="仿宋" w:cs="仿宋"/>
          <w:kern w:val="0"/>
          <w:sz w:val="30"/>
          <w:szCs w:val="30"/>
        </w:rPr>
        <w:t>十三、</w:t>
      </w:r>
      <w:r>
        <w:rPr>
          <w:rFonts w:hint="eastAsia" w:ascii="仿宋" w:hAnsi="仿宋" w:eastAsia="仿宋" w:cs="仿宋"/>
          <w:b/>
          <w:sz w:val="32"/>
          <w:szCs w:val="32"/>
        </w:rPr>
        <w:t>机关运行经费</w:t>
      </w:r>
      <w:r>
        <w:rPr>
          <w:rFonts w:hint="eastAsia" w:ascii="仿宋" w:hAnsi="仿宋" w:eastAsia="仿宋" w:cs="仿宋"/>
          <w:kern w:val="0"/>
          <w:sz w:val="30"/>
          <w:szCs w:val="30"/>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楷体_GB2312">
    <w:altName w:val="楷体"/>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42CF2"/>
    <w:multiLevelType w:val="multilevel"/>
    <w:tmpl w:val="2C142CF2"/>
    <w:lvl w:ilvl="0" w:tentative="0">
      <w:start w:val="3"/>
      <w:numFmt w:val="japaneseCounting"/>
      <w:lvlText w:val="%1、"/>
      <w:lvlJc w:val="left"/>
      <w:pPr>
        <w:ind w:left="1360"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5F2250"/>
    <w:multiLevelType w:val="singleLevel"/>
    <w:tmpl w:val="5A5F2250"/>
    <w:lvl w:ilvl="0" w:tentative="0">
      <w:start w:val="1"/>
      <w:numFmt w:val="chineseCounting"/>
      <w:suff w:val="nothing"/>
      <w:lvlText w:val="%1、"/>
      <w:lvlJc w:val="left"/>
    </w:lvl>
  </w:abstractNum>
  <w:abstractNum w:abstractNumId="2">
    <w:nsid w:val="5A5F2384"/>
    <w:multiLevelType w:val="singleLevel"/>
    <w:tmpl w:val="5A5F2384"/>
    <w:lvl w:ilvl="0" w:tentative="0">
      <w:start w:val="1"/>
      <w:numFmt w:val="chineseCounting"/>
      <w:suff w:val="nothing"/>
      <w:lvlText w:val="%1、"/>
      <w:lvlJc w:val="left"/>
    </w:lvl>
  </w:abstractNum>
  <w:abstractNum w:abstractNumId="3">
    <w:nsid w:val="5A5F50C1"/>
    <w:multiLevelType w:val="singleLevel"/>
    <w:tmpl w:val="5A5F50C1"/>
    <w:lvl w:ilvl="0" w:tentative="0">
      <w:start w:val="1"/>
      <w:numFmt w:val="chineseCounting"/>
      <w:suff w:val="nothing"/>
      <w:lvlText w:val="%1、"/>
      <w:lvlJc w:val="left"/>
    </w:lvl>
  </w:abstractNum>
  <w:num w:numId="1">
    <w:abstractNumId w:val="1"/>
  </w:num>
  <w:num w:numId="2">
    <w:abstractNumId w:val="2"/>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1B3801"/>
    <w:rsid w:val="001D7A06"/>
    <w:rsid w:val="00200FB7"/>
    <w:rsid w:val="00202EB6"/>
    <w:rsid w:val="00307425"/>
    <w:rsid w:val="00343BAB"/>
    <w:rsid w:val="00367F73"/>
    <w:rsid w:val="003707EA"/>
    <w:rsid w:val="004172DB"/>
    <w:rsid w:val="004B2196"/>
    <w:rsid w:val="005A7CDD"/>
    <w:rsid w:val="005F61BB"/>
    <w:rsid w:val="00603FB1"/>
    <w:rsid w:val="00743FFF"/>
    <w:rsid w:val="00767076"/>
    <w:rsid w:val="00837D72"/>
    <w:rsid w:val="008B7CC9"/>
    <w:rsid w:val="00911362"/>
    <w:rsid w:val="00951A42"/>
    <w:rsid w:val="00A40E90"/>
    <w:rsid w:val="00AD5E8E"/>
    <w:rsid w:val="00B37737"/>
    <w:rsid w:val="00B42D18"/>
    <w:rsid w:val="00BA6BA9"/>
    <w:rsid w:val="00BF7D3B"/>
    <w:rsid w:val="00C1609C"/>
    <w:rsid w:val="00CB639B"/>
    <w:rsid w:val="00CE6EBE"/>
    <w:rsid w:val="00DC4412"/>
    <w:rsid w:val="00DE79ED"/>
    <w:rsid w:val="00E36236"/>
    <w:rsid w:val="00EA4E1C"/>
    <w:rsid w:val="00EE46A4"/>
    <w:rsid w:val="00FC0F75"/>
    <w:rsid w:val="00FF4CD2"/>
    <w:rsid w:val="081D07C1"/>
    <w:rsid w:val="16FA509A"/>
    <w:rsid w:val="180A7628"/>
    <w:rsid w:val="1AD30961"/>
    <w:rsid w:val="2F300128"/>
    <w:rsid w:val="3C617A94"/>
    <w:rsid w:val="4F617A3E"/>
    <w:rsid w:val="563F0BB8"/>
    <w:rsid w:val="658E0CA7"/>
    <w:rsid w:val="6D535020"/>
    <w:rsid w:val="73786E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 w:type="paragraph" w:customStyle="1" w:styleId="8">
    <w:name w:val="newnewnewnewnewnewnewnewnewnewnew"/>
    <w:basedOn w:val="1"/>
    <w:qFormat/>
    <w:uiPriority w:val="0"/>
    <w:pPr>
      <w:widowControl/>
      <w:jc w:val="left"/>
    </w:pPr>
    <w:rPr>
      <w:rFonts w:ascii="宋体" w:hAnsi="宋体" w:cs="宋体"/>
      <w:kern w:val="0"/>
      <w:sz w:val="24"/>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Chinese ORG</Company>
  <Pages>10</Pages>
  <Words>512</Words>
  <Characters>2924</Characters>
  <Lines>24</Lines>
  <Paragraphs>6</Paragraphs>
  <TotalTime>2</TotalTime>
  <ScaleCrop>false</ScaleCrop>
  <LinksUpToDate>false</LinksUpToDate>
  <CharactersWithSpaces>3430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2018-04-17T08:10:00Z</dcterms:created>
  <dc:creator>小捣</dc:creator>
  <cp:lastModifiedBy>小捣</cp:lastModifiedBy>
  <cp:lastPrinted>2018-04-16T01:20:00Z</cp:lastPrinted>
  <dcterms:modified xsi:type="dcterms:W3CDTF">2018-05-23T03:31:45Z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