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黑体" w:hAnsi="方正小标宋简体" w:eastAsia="黑体" w:cs="Times New Roman"/>
          <w:b/>
          <w:bCs/>
          <w:sz w:val="84"/>
          <w:szCs w:val="84"/>
        </w:rPr>
      </w:pPr>
      <w:r>
        <w:rPr>
          <w:rFonts w:ascii="黑体" w:hAnsi="方正小标宋简体" w:eastAsia="黑体" w:cs="黑体"/>
          <w:b/>
          <w:bCs/>
          <w:sz w:val="84"/>
          <w:szCs w:val="84"/>
        </w:rPr>
        <w:t>2016</w:t>
      </w:r>
      <w:r>
        <w:rPr>
          <w:rFonts w:hint="eastAsia" w:ascii="黑体" w:hAnsi="方正小标宋简体" w:eastAsia="黑体" w:cs="黑体"/>
          <w:b/>
          <w:bCs/>
          <w:sz w:val="84"/>
          <w:szCs w:val="84"/>
        </w:rPr>
        <w:t>年</w:t>
      </w:r>
    </w:p>
    <w:p>
      <w:pPr>
        <w:jc w:val="center"/>
        <w:rPr>
          <w:rFonts w:ascii="黑体" w:hAnsi="方正小标宋简体" w:eastAsia="黑体" w:cs="Times New Roman"/>
          <w:b/>
          <w:bCs/>
          <w:sz w:val="84"/>
          <w:szCs w:val="84"/>
        </w:rPr>
      </w:pPr>
      <w:r>
        <w:rPr>
          <w:rFonts w:hint="eastAsia" w:ascii="黑体" w:hAnsi="方正小标宋简体" w:eastAsia="黑体" w:cs="黑体"/>
          <w:b/>
          <w:bCs/>
          <w:sz w:val="84"/>
          <w:szCs w:val="84"/>
        </w:rPr>
        <w:t>疾病预防控制中心</w:t>
      </w:r>
    </w:p>
    <w:p>
      <w:pPr>
        <w:jc w:val="center"/>
        <w:rPr>
          <w:rFonts w:ascii="方正小标宋简体" w:hAnsi="方正小标宋简体" w:eastAsia="方正小标宋简体" w:cs="Times New Roman"/>
          <w:sz w:val="84"/>
          <w:szCs w:val="84"/>
        </w:rPr>
      </w:pPr>
      <w:r>
        <w:rPr>
          <w:rFonts w:hint="eastAsia" w:ascii="黑体" w:hAnsi="方正小标宋简体" w:eastAsia="黑体" w:cs="黑体"/>
          <w:b/>
          <w:bCs/>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方正小标宋简体" w:eastAsia="黑体" w:cs="Times New Roman"/>
          <w:sz w:val="44"/>
          <w:szCs w:val="44"/>
        </w:rPr>
      </w:pPr>
      <w:r>
        <w:rPr>
          <w:rFonts w:ascii="方正小标宋简体" w:hAnsi="方正小标宋简体" w:eastAsia="方正小标宋简体" w:cs="Times New Roman"/>
          <w:sz w:val="84"/>
          <w:szCs w:val="84"/>
        </w:rPr>
        <w:br w:type="page"/>
      </w:r>
      <w:r>
        <w:rPr>
          <w:rFonts w:hint="eastAsia" w:ascii="黑体" w:hAnsi="方正小标宋简体" w:eastAsia="黑体" w:cs="黑体"/>
          <w:sz w:val="44"/>
          <w:szCs w:val="44"/>
        </w:rPr>
        <w:t>目</w:t>
      </w:r>
      <w:r>
        <w:rPr>
          <w:rFonts w:ascii="黑体" w:hAnsi="方正小标宋简体" w:eastAsia="黑体" w:cs="黑体"/>
          <w:sz w:val="44"/>
          <w:szCs w:val="44"/>
        </w:rPr>
        <w:t xml:space="preserve"> </w:t>
      </w:r>
      <w:r>
        <w:rPr>
          <w:rFonts w:hint="eastAsia" w:ascii="黑体" w:hAnsi="方正小标宋简体" w:eastAsia="黑体" w:cs="黑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蕉岭县疾病预防控制中心概况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黑体" w:hAnsi="方正小标宋简体" w:eastAsia="黑体" w:cs="Times New Roman"/>
          <w:sz w:val="44"/>
          <w:szCs w:val="44"/>
        </w:rPr>
      </w:pPr>
      <w:r>
        <w:rPr>
          <w:rFonts w:hint="eastAsia" w:ascii="黑体" w:hAnsi="方正小标宋简体" w:eastAsia="黑体" w:cs="黑体"/>
          <w:sz w:val="44"/>
          <w:szCs w:val="44"/>
        </w:rPr>
        <w:t>第一部分蕉岭县疾病预防控制中心概况</w:t>
      </w:r>
    </w:p>
    <w:p>
      <w:pPr>
        <w:jc w:val="center"/>
        <w:rPr>
          <w:rFonts w:ascii="黑体" w:hAnsi="方正小标宋简体" w:eastAsia="黑体" w:cs="Times New Roman"/>
          <w:sz w:val="44"/>
          <w:szCs w:val="44"/>
        </w:rPr>
      </w:pPr>
    </w:p>
    <w:p>
      <w:pPr>
        <w:numPr>
          <w:ilvl w:val="0"/>
          <w:numId w:val="3"/>
        </w:numPr>
        <w:ind w:firstLine="640"/>
        <w:rPr>
          <w:rFonts w:ascii="黑体" w:hAnsi="黑体" w:eastAsia="黑体" w:cs="Times New Roman"/>
          <w:sz w:val="32"/>
          <w:szCs w:val="32"/>
        </w:rPr>
      </w:pPr>
      <w:r>
        <w:rPr>
          <w:rFonts w:hint="eastAsia" w:ascii="黑体" w:hAnsi="黑体" w:eastAsia="黑体" w:cs="黑体"/>
          <w:sz w:val="32"/>
          <w:szCs w:val="32"/>
        </w:rPr>
        <w:t>主要职责（机构职能，可参照三定方案）</w:t>
      </w:r>
    </w:p>
    <w:p>
      <w:pPr>
        <w:widowControl/>
        <w:ind w:firstLine="640" w:firstLineChars="200"/>
        <w:rPr>
          <w:rFonts w:ascii="仿宋_GB2312" w:hAnsi="宋体" w:eastAsia="仿宋_GB2312" w:cs="Times New Roman"/>
          <w:color w:val="000000"/>
          <w:kern w:val="0"/>
          <w:sz w:val="32"/>
          <w:szCs w:val="32"/>
        </w:rPr>
      </w:pPr>
      <w:r>
        <w:rPr>
          <w:rFonts w:hint="eastAsia" w:ascii="仿宋_GB2312" w:hAnsi="仿宋_GB2312" w:eastAsia="仿宋_GB2312" w:cs="仿宋_GB2312"/>
          <w:sz w:val="32"/>
          <w:szCs w:val="32"/>
        </w:rPr>
        <w:t>（一）、</w:t>
      </w:r>
      <w:r>
        <w:rPr>
          <w:rFonts w:hint="eastAsia" w:ascii="仿宋_GB2312" w:hAnsi="宋体" w:eastAsia="仿宋_GB2312" w:cs="仿宋_GB2312"/>
          <w:color w:val="000000"/>
          <w:kern w:val="0"/>
          <w:sz w:val="32"/>
          <w:szCs w:val="32"/>
        </w:rPr>
        <w:t>贯彻执行国家、省、市、县有关</w:t>
      </w:r>
      <w:r>
        <w:rPr>
          <w:rFonts w:hint="eastAsia" w:ascii="仿宋_GB2312" w:hAnsi="方正小标宋简体" w:eastAsia="仿宋_GB2312" w:cs="仿宋_GB2312"/>
          <w:sz w:val="32"/>
          <w:szCs w:val="32"/>
        </w:rPr>
        <w:t>疾病预防控制</w:t>
      </w:r>
      <w:r>
        <w:rPr>
          <w:rFonts w:hint="eastAsia" w:ascii="仿宋_GB2312" w:hAnsi="宋体" w:eastAsia="仿宋_GB2312" w:cs="仿宋_GB2312"/>
          <w:color w:val="000000"/>
          <w:kern w:val="0"/>
          <w:sz w:val="32"/>
          <w:szCs w:val="32"/>
        </w:rPr>
        <w:t>工作的法律、法规和方针政策。</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（二）、</w:t>
      </w:r>
      <w:r>
        <w:rPr>
          <w:rFonts w:hint="eastAsia" w:ascii="仿宋_GB2312" w:hAnsi="宋体" w:eastAsia="仿宋_GB2312" w:cs="仿宋_GB2312"/>
          <w:sz w:val="32"/>
          <w:szCs w:val="32"/>
        </w:rPr>
        <w:t>承担疾病预防与控制</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（三）、</w:t>
      </w:r>
      <w:r>
        <w:rPr>
          <w:rFonts w:hint="eastAsia" w:ascii="仿宋_GB2312" w:hAnsi="宋体" w:eastAsia="仿宋_GB2312" w:cs="仿宋_GB2312"/>
          <w:sz w:val="32"/>
          <w:szCs w:val="32"/>
        </w:rPr>
        <w:t>突发公共卫生事件应急处置</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（四）、</w:t>
      </w:r>
      <w:r>
        <w:rPr>
          <w:rFonts w:hint="eastAsia" w:ascii="仿宋_GB2312" w:hAnsi="宋体" w:eastAsia="仿宋_GB2312" w:cs="仿宋_GB2312"/>
          <w:sz w:val="32"/>
          <w:szCs w:val="32"/>
        </w:rPr>
        <w:t>食品安全风险监测与评估</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（五）、</w:t>
      </w:r>
      <w:r>
        <w:rPr>
          <w:rFonts w:hint="eastAsia" w:ascii="仿宋_GB2312" w:hAnsi="宋体" w:eastAsia="仿宋_GB2312" w:cs="仿宋_GB2312"/>
          <w:sz w:val="32"/>
          <w:szCs w:val="32"/>
        </w:rPr>
        <w:t>疫情及健康相关因素信息管理</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（六）、</w:t>
      </w:r>
      <w:r>
        <w:rPr>
          <w:rFonts w:hint="eastAsia" w:ascii="仿宋_GB2312" w:hAnsi="宋体" w:eastAsia="仿宋_GB2312" w:cs="仿宋_GB2312"/>
          <w:sz w:val="32"/>
          <w:szCs w:val="32"/>
        </w:rPr>
        <w:t>健康危害因素监测与干预</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（七）、</w:t>
      </w:r>
      <w:r>
        <w:rPr>
          <w:rFonts w:hint="eastAsia" w:ascii="仿宋_GB2312" w:hAnsi="宋体" w:eastAsia="仿宋_GB2312" w:cs="仿宋_GB2312"/>
          <w:sz w:val="32"/>
          <w:szCs w:val="32"/>
        </w:rPr>
        <w:t>实验室检验检测与评价</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kern w:val="0"/>
          <w:sz w:val="32"/>
          <w:szCs w:val="32"/>
        </w:rPr>
        <w:t>（八）、</w:t>
      </w:r>
      <w:r>
        <w:rPr>
          <w:rFonts w:hint="eastAsia" w:ascii="仿宋_GB2312" w:hAnsi="宋体" w:eastAsia="仿宋_GB2312" w:cs="仿宋_GB2312"/>
          <w:sz w:val="32"/>
          <w:szCs w:val="32"/>
        </w:rPr>
        <w:t>健康教育与健康促进、技术管理</w:t>
      </w:r>
      <w:r>
        <w:rPr>
          <w:rFonts w:hint="eastAsia" w:ascii="仿宋_GB2312" w:hAnsi="宋体" w:eastAsia="仿宋_GB2312" w:cs="仿宋_GB2312"/>
          <w:color w:val="000000"/>
          <w:kern w:val="0"/>
          <w:sz w:val="32"/>
          <w:szCs w:val="32"/>
        </w:rPr>
        <w:t>。</w:t>
      </w:r>
    </w:p>
    <w:p>
      <w:pPr>
        <w:widowControl/>
        <w:ind w:firstLine="640" w:firstLineChars="200"/>
        <w:rPr>
          <w:rFonts w:ascii="仿宋_GB2312" w:hAnsi="宋体" w:eastAsia="仿宋_GB2312" w:cs="Times New Roman"/>
          <w:color w:val="000000"/>
          <w:kern w:val="0"/>
          <w:sz w:val="32"/>
          <w:szCs w:val="32"/>
        </w:rPr>
      </w:pPr>
      <w:r>
        <w:rPr>
          <w:rFonts w:hint="eastAsia" w:ascii="仿宋_GB2312" w:hAnsi="宋体" w:eastAsia="仿宋_GB2312" w:cs="仿宋_GB2312"/>
          <w:color w:val="000000"/>
          <w:sz w:val="32"/>
          <w:szCs w:val="32"/>
        </w:rPr>
        <w:t>（九）、承担县委、县政府交办的其他业务。</w:t>
      </w: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（一）、本部门无下属单位，部门预算为县本级预算。</w:t>
      </w:r>
    </w:p>
    <w:p>
      <w:pPr>
        <w:ind w:firstLine="640" w:firstLineChars="200"/>
        <w:rPr>
          <w:rFonts w:ascii="仿宋_GB2312" w:hAnsi="仿宋_GB2312" w:eastAsia="仿宋_GB2312" w:cs="Times New Roman"/>
          <w:sz w:val="32"/>
          <w:szCs w:val="32"/>
        </w:rPr>
      </w:pPr>
      <w:r>
        <w:rPr>
          <w:rFonts w:hint="eastAsia" w:ascii="仿宋_GB2312" w:hAnsi="宋体" w:eastAsia="仿宋_GB2312" w:cs="仿宋_GB2312"/>
          <w:color w:val="000000"/>
          <w:kern w:val="0"/>
          <w:sz w:val="32"/>
          <w:szCs w:val="32"/>
        </w:rPr>
        <w:t>（二）、</w:t>
      </w:r>
      <w:r>
        <w:rPr>
          <w:rFonts w:hint="eastAsia" w:ascii="仿宋_GB2312" w:hAnsi="仿宋_GB2312" w:eastAsia="仿宋_GB2312" w:cs="仿宋_GB2312"/>
          <w:sz w:val="32"/>
          <w:szCs w:val="32"/>
        </w:rPr>
        <w:t>本部门内设机构、人员构成情况：</w:t>
      </w:r>
    </w:p>
    <w:p>
      <w:pPr>
        <w:spacing w:line="288" w:lineRule="auto"/>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内设机构：</w:t>
      </w:r>
      <w:r>
        <w:rPr>
          <w:rFonts w:hint="eastAsia" w:ascii="仿宋_GB2312" w:hAnsi="宋体" w:eastAsia="仿宋_GB2312" w:cs="仿宋_GB2312"/>
          <w:kern w:val="0"/>
          <w:sz w:val="32"/>
          <w:szCs w:val="32"/>
        </w:rPr>
        <w:t>办公室、防控股、监测股、检验科、体检科</w:t>
      </w:r>
      <w:r>
        <w:rPr>
          <w:rFonts w:hint="eastAsia" w:ascii="仿宋_GB2312" w:hAnsi="仿宋_GB2312" w:eastAsia="仿宋_GB2312" w:cs="仿宋_GB2312"/>
          <w:sz w:val="32"/>
          <w:szCs w:val="32"/>
        </w:rPr>
        <w:t>。</w:t>
      </w:r>
    </w:p>
    <w:p>
      <w:pPr>
        <w:spacing w:line="288" w:lineRule="auto"/>
        <w:ind w:firstLine="640" w:firstLineChars="200"/>
        <w:rPr>
          <w:rFonts w:ascii="仿宋_GB2312" w:hAnsi="仿宋" w:eastAsia="仿宋_GB2312" w:cs="Times New Roman"/>
          <w:sz w:val="32"/>
          <w:szCs w:val="32"/>
        </w:rPr>
      </w:pPr>
      <w:r>
        <w:rPr>
          <w:rFonts w:hint="eastAsia" w:ascii="仿宋_GB2312" w:hAnsi="仿宋_GB2312" w:eastAsia="仿宋_GB2312" w:cs="仿宋_GB2312"/>
          <w:sz w:val="32"/>
          <w:szCs w:val="32"/>
        </w:rPr>
        <w:t>人员构成情况：</w:t>
      </w:r>
      <w:r>
        <w:rPr>
          <w:rFonts w:hint="eastAsia" w:ascii="仿宋_GB2312" w:hAnsi="宋体" w:eastAsia="仿宋_GB2312" w:cs="仿宋_GB2312"/>
          <w:sz w:val="32"/>
          <w:szCs w:val="32"/>
        </w:rPr>
        <w:t>本年度人员编制数共</w:t>
      </w:r>
      <w:r>
        <w:rPr>
          <w:rFonts w:ascii="仿宋_GB2312" w:hAnsi="宋体" w:eastAsia="仿宋_GB2312" w:cs="仿宋_GB2312"/>
          <w:sz w:val="32"/>
          <w:szCs w:val="32"/>
        </w:rPr>
        <w:t>18</w:t>
      </w:r>
      <w:r>
        <w:rPr>
          <w:rFonts w:hint="eastAsia" w:ascii="仿宋_GB2312" w:hAnsi="宋体" w:eastAsia="仿宋_GB2312" w:cs="仿宋_GB2312"/>
          <w:sz w:val="32"/>
          <w:szCs w:val="32"/>
        </w:rPr>
        <w:t>人，年末实有人数</w:t>
      </w:r>
      <w:r>
        <w:rPr>
          <w:rFonts w:ascii="仿宋_GB2312" w:hAnsi="宋体" w:eastAsia="仿宋_GB2312" w:cs="仿宋_GB2312"/>
          <w:sz w:val="32"/>
          <w:szCs w:val="32"/>
        </w:rPr>
        <w:t>27</w:t>
      </w:r>
      <w:r>
        <w:rPr>
          <w:rFonts w:hint="eastAsia" w:ascii="仿宋_GB2312" w:hAnsi="宋体" w:eastAsia="仿宋_GB2312" w:cs="仿宋_GB2312"/>
          <w:sz w:val="32"/>
          <w:szCs w:val="32"/>
        </w:rPr>
        <w:t>人。其中：</w:t>
      </w:r>
      <w:r>
        <w:rPr>
          <w:rFonts w:hint="eastAsia" w:ascii="仿宋_GB2312" w:hAnsi="宋体" w:eastAsia="仿宋_GB2312" w:cs="仿宋_GB2312"/>
          <w:kern w:val="0"/>
          <w:sz w:val="32"/>
          <w:szCs w:val="32"/>
        </w:rPr>
        <w:t>在编在职人员</w:t>
      </w:r>
      <w:r>
        <w:rPr>
          <w:rFonts w:ascii="仿宋_GB2312" w:hAnsi="宋体" w:eastAsia="仿宋_GB2312" w:cs="仿宋_GB2312"/>
          <w:kern w:val="0"/>
          <w:sz w:val="32"/>
          <w:szCs w:val="32"/>
        </w:rPr>
        <w:t>18</w:t>
      </w:r>
      <w:r>
        <w:rPr>
          <w:rFonts w:hint="eastAsia" w:ascii="仿宋_GB2312" w:hAnsi="宋体" w:eastAsia="仿宋_GB2312" w:cs="仿宋_GB2312"/>
          <w:kern w:val="0"/>
          <w:sz w:val="32"/>
          <w:szCs w:val="32"/>
        </w:rPr>
        <w:t>人，借调人员</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人，单位临时聘用人员</w:t>
      </w:r>
      <w:r>
        <w:rPr>
          <w:rFonts w:ascii="仿宋_GB2312" w:hAnsi="宋体" w:eastAsia="仿宋_GB2312" w:cs="仿宋_GB2312"/>
          <w:kern w:val="0"/>
          <w:sz w:val="32"/>
          <w:szCs w:val="32"/>
        </w:rPr>
        <w:t>5</w:t>
      </w:r>
      <w:r>
        <w:rPr>
          <w:rFonts w:hint="eastAsia" w:ascii="仿宋_GB2312" w:hAnsi="宋体" w:eastAsia="仿宋_GB2312" w:cs="仿宋_GB2312"/>
          <w:kern w:val="0"/>
          <w:sz w:val="32"/>
          <w:szCs w:val="32"/>
        </w:rPr>
        <w:t>人。</w:t>
      </w:r>
      <w:r>
        <w:rPr>
          <w:rFonts w:hint="eastAsia" w:ascii="仿宋_GB2312" w:hAnsi="仿宋" w:eastAsia="仿宋_GB2312" w:cs="仿宋_GB2312"/>
          <w:sz w:val="32"/>
          <w:szCs w:val="32"/>
        </w:rPr>
        <w:t>具有副高级以上职称</w:t>
      </w:r>
      <w:r>
        <w:rPr>
          <w:rFonts w:ascii="仿宋_GB2312" w:hAnsi="仿宋" w:eastAsia="仿宋_GB2312" w:cs="仿宋_GB2312"/>
          <w:sz w:val="32"/>
          <w:szCs w:val="32"/>
        </w:rPr>
        <w:t>2</w:t>
      </w:r>
      <w:r>
        <w:rPr>
          <w:rFonts w:hint="eastAsia" w:ascii="仿宋_GB2312" w:hAnsi="仿宋" w:eastAsia="仿宋_GB2312" w:cs="仿宋_GB2312"/>
          <w:sz w:val="32"/>
          <w:szCs w:val="32"/>
        </w:rPr>
        <w:t>人，中级职称</w:t>
      </w:r>
      <w:r>
        <w:rPr>
          <w:rFonts w:ascii="仿宋_GB2312" w:hAnsi="仿宋" w:eastAsia="仿宋_GB2312" w:cs="仿宋_GB2312"/>
          <w:sz w:val="32"/>
          <w:szCs w:val="32"/>
        </w:rPr>
        <w:t>5</w:t>
      </w:r>
      <w:r>
        <w:rPr>
          <w:rFonts w:hint="eastAsia" w:ascii="仿宋_GB2312" w:hAnsi="仿宋" w:eastAsia="仿宋_GB2312" w:cs="仿宋_GB2312"/>
          <w:sz w:val="32"/>
          <w:szCs w:val="32"/>
        </w:rPr>
        <w:t>人，师级职称</w:t>
      </w:r>
      <w:r>
        <w:rPr>
          <w:rFonts w:ascii="仿宋_GB2312" w:hAnsi="仿宋" w:eastAsia="仿宋_GB2312" w:cs="仿宋_GB2312"/>
          <w:sz w:val="32"/>
          <w:szCs w:val="32"/>
        </w:rPr>
        <w:t>10</w:t>
      </w:r>
      <w:r>
        <w:rPr>
          <w:rFonts w:hint="eastAsia" w:ascii="仿宋_GB2312" w:hAnsi="仿宋" w:eastAsia="仿宋_GB2312" w:cs="仿宋_GB2312"/>
          <w:sz w:val="32"/>
          <w:szCs w:val="32"/>
        </w:rPr>
        <w:t>人，士级</w:t>
      </w:r>
      <w:r>
        <w:rPr>
          <w:rFonts w:ascii="仿宋_GB2312" w:hAnsi="仿宋" w:eastAsia="仿宋_GB2312" w:cs="仿宋_GB2312"/>
          <w:sz w:val="32"/>
          <w:szCs w:val="32"/>
        </w:rPr>
        <w:t>4</w:t>
      </w:r>
      <w:r>
        <w:rPr>
          <w:rFonts w:hint="eastAsia" w:ascii="仿宋_GB2312" w:hAnsi="仿宋" w:eastAsia="仿宋_GB2312" w:cs="仿宋_GB2312"/>
          <w:sz w:val="32"/>
          <w:szCs w:val="32"/>
        </w:rPr>
        <w:t>人，</w:t>
      </w:r>
      <w:r>
        <w:rPr>
          <w:rFonts w:hint="eastAsia" w:ascii="仿宋_GB2312" w:hAnsi="宋体" w:eastAsia="仿宋_GB2312" w:cs="仿宋_GB2312"/>
          <w:kern w:val="0"/>
          <w:sz w:val="32"/>
          <w:szCs w:val="32"/>
        </w:rPr>
        <w:t>退休人员</w:t>
      </w:r>
      <w:r>
        <w:rPr>
          <w:rFonts w:ascii="仿宋_GB2312" w:hAnsi="宋体" w:eastAsia="仿宋_GB2312" w:cs="仿宋_GB2312"/>
          <w:kern w:val="0"/>
          <w:sz w:val="32"/>
          <w:szCs w:val="32"/>
        </w:rPr>
        <w:t>9</w:t>
      </w:r>
      <w:r>
        <w:rPr>
          <w:rFonts w:hint="eastAsia" w:ascii="仿宋_GB2312" w:hAnsi="宋体" w:eastAsia="仿宋_GB2312" w:cs="仿宋_GB2312"/>
          <w:kern w:val="0"/>
          <w:sz w:val="32"/>
          <w:szCs w:val="32"/>
        </w:rPr>
        <w:t>名，</w:t>
      </w:r>
      <w:r>
        <w:rPr>
          <w:rFonts w:hint="eastAsia" w:ascii="仿宋_GB2312" w:hAnsi="仿宋" w:eastAsia="仿宋_GB2312" w:cs="仿宋_GB2312"/>
          <w:sz w:val="32"/>
          <w:szCs w:val="32"/>
        </w:rPr>
        <w:t>遗属补助</w:t>
      </w:r>
      <w:r>
        <w:rPr>
          <w:rFonts w:ascii="仿宋_GB2312" w:hAnsi="仿宋" w:eastAsia="仿宋_GB2312" w:cs="仿宋_GB2312"/>
          <w:sz w:val="32"/>
          <w:szCs w:val="32"/>
        </w:rPr>
        <w:t>2</w:t>
      </w:r>
      <w:r>
        <w:rPr>
          <w:rFonts w:hint="eastAsia" w:ascii="仿宋_GB2312" w:hAnsi="仿宋" w:eastAsia="仿宋_GB2312" w:cs="仿宋_GB2312"/>
          <w:sz w:val="32"/>
          <w:szCs w:val="32"/>
        </w:rPr>
        <w:t>人。</w:t>
      </w:r>
    </w:p>
    <w:p>
      <w:pPr>
        <w:rPr>
          <w:rFonts w:ascii="黑体" w:hAnsi="方正小标宋简体" w:eastAsia="黑体" w:cs="Times New Roman"/>
          <w:b/>
          <w:bCs/>
          <w:sz w:val="44"/>
          <w:szCs w:val="44"/>
        </w:rPr>
      </w:pPr>
      <w:r>
        <w:rPr>
          <w:rFonts w:ascii="黑体" w:hAnsi="黑体" w:eastAsia="黑体" w:cs="黑体"/>
          <w:sz w:val="44"/>
          <w:szCs w:val="44"/>
        </w:rPr>
        <w:t xml:space="preserve"> </w:t>
      </w:r>
      <w:r>
        <w:rPr>
          <w:rFonts w:hint="eastAsia" w:ascii="黑体" w:hAnsi="方正小标宋简体" w:eastAsia="黑体" w:cs="黑体"/>
          <w:b/>
          <w:bCs/>
          <w:sz w:val="44"/>
          <w:szCs w:val="44"/>
        </w:rPr>
        <w:t>第二部分</w:t>
      </w:r>
      <w:r>
        <w:rPr>
          <w:rFonts w:ascii="黑体" w:hAnsi="方正小标宋简体" w:eastAsia="黑体" w:cs="黑体"/>
          <w:b/>
          <w:bCs/>
          <w:sz w:val="44"/>
          <w:szCs w:val="44"/>
        </w:rPr>
        <w:t xml:space="preserve"> 2016</w:t>
      </w:r>
      <w:r>
        <w:rPr>
          <w:rFonts w:hint="eastAsia" w:ascii="黑体" w:hAnsi="方正小标宋简体" w:eastAsia="黑体" w:cs="黑体"/>
          <w:b/>
          <w:bCs/>
          <w:sz w:val="44"/>
          <w:szCs w:val="44"/>
        </w:rPr>
        <w:t>年部门预算表</w:t>
      </w:r>
    </w:p>
    <w:p>
      <w:pPr>
        <w:jc w:val="center"/>
        <w:rPr>
          <w:rFonts w:ascii="黑体" w:hAnsi="方正小标宋简体" w:eastAsia="黑体" w:cs="Times New Roman"/>
          <w:b/>
          <w:bCs/>
          <w:sz w:val="44"/>
          <w:szCs w:val="44"/>
        </w:rPr>
      </w:pPr>
    </w:p>
    <w:p>
      <w:pPr>
        <w:jc w:val="center"/>
        <w:rPr>
          <w:rFonts w:ascii="仿宋_GB2312" w:hAnsi="方正小标宋简体" w:eastAsia="仿宋_GB2312" w:cs="Times New Roman"/>
          <w:b/>
          <w:bCs/>
          <w:sz w:val="44"/>
          <w:szCs w:val="44"/>
        </w:rPr>
      </w:pPr>
      <w:r>
        <w:rPr>
          <w:rFonts w:hint="eastAsia" w:ascii="仿宋_GB2312" w:hAnsi="方正小标宋简体" w:eastAsia="仿宋_GB2312" w:cs="仿宋_GB2312"/>
          <w:b/>
          <w:bCs/>
          <w:sz w:val="44"/>
          <w:szCs w:val="44"/>
        </w:rPr>
        <w:t>（详见</w:t>
      </w:r>
      <w:r>
        <w:rPr>
          <w:rFonts w:ascii="仿宋_GB2312" w:hAnsi="方正小标宋简体" w:eastAsia="仿宋_GB2312" w:cs="仿宋_GB2312"/>
          <w:b/>
          <w:bCs/>
          <w:sz w:val="44"/>
          <w:szCs w:val="44"/>
        </w:rPr>
        <w:t>2016</w:t>
      </w:r>
      <w:r>
        <w:rPr>
          <w:rFonts w:hint="eastAsia" w:ascii="仿宋_GB2312" w:hAnsi="方正小标宋简体" w:eastAsia="仿宋_GB2312" w:cs="仿宋_GB2312"/>
          <w:b/>
          <w:bCs/>
          <w:sz w:val="44"/>
          <w:szCs w:val="44"/>
        </w:rPr>
        <w:t>年部门预算输出报表）</w:t>
      </w:r>
    </w:p>
    <w:p>
      <w:pPr>
        <w:rPr>
          <w:rFonts w:cs="Times New Roman"/>
        </w:rPr>
      </w:pPr>
      <w:r>
        <w:rPr>
          <w:rFonts w:cs="Times New Roman"/>
        </w:rPr>
        <w:br w:type="page"/>
      </w:r>
    </w:p>
    <w:p>
      <w:pPr>
        <w:jc w:val="center"/>
        <w:rPr>
          <w:rFonts w:ascii="黑体" w:hAnsi="方正小标宋简体" w:eastAsia="黑体" w:cs="Times New Roman"/>
          <w:sz w:val="44"/>
          <w:szCs w:val="44"/>
        </w:rPr>
      </w:pPr>
      <w:r>
        <w:rPr>
          <w:rFonts w:hint="eastAsia" w:ascii="黑体" w:hAnsi="方正小标宋简体" w:eastAsia="黑体" w:cs="黑体"/>
          <w:sz w:val="44"/>
          <w:szCs w:val="44"/>
        </w:rPr>
        <w:t>第三部分</w:t>
      </w:r>
      <w:r>
        <w:rPr>
          <w:rFonts w:ascii="黑体" w:hAnsi="方正小标宋简体" w:eastAsia="黑体" w:cs="黑体"/>
          <w:sz w:val="44"/>
          <w:szCs w:val="44"/>
        </w:rPr>
        <w:t xml:space="preserve">  2016</w:t>
      </w:r>
      <w:r>
        <w:rPr>
          <w:rFonts w:hint="eastAsia" w:ascii="黑体" w:hAnsi="方正小标宋简体" w:eastAsia="黑体" w:cs="黑体"/>
          <w:sz w:val="44"/>
          <w:szCs w:val="44"/>
        </w:rPr>
        <w:t>年部门预算情况说明</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仿宋_GB2312" w:eastAsia="仿宋_GB2312" w:cs="仿宋_GB2312"/>
          <w:sz w:val="32"/>
          <w:szCs w:val="32"/>
        </w:rPr>
        <w:t>239.5673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 xml:space="preserve"> 86.0239</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35.91%</w:t>
      </w:r>
      <w:r>
        <w:rPr>
          <w:rFonts w:hint="eastAsia" w:ascii="仿宋_GB2312" w:hAnsi="仿宋_GB2312" w:eastAsia="仿宋_GB2312" w:cs="仿宋_GB2312"/>
          <w:sz w:val="32"/>
          <w:szCs w:val="32"/>
        </w:rPr>
        <w:t>，主要原因是</w:t>
      </w:r>
      <w:r>
        <w:rPr>
          <w:rFonts w:hint="eastAsia" w:ascii="仿宋_GB2312" w:eastAsia="仿宋_GB2312" w:cs="仿宋_GB2312"/>
          <w:sz w:val="32"/>
          <w:szCs w:val="32"/>
        </w:rPr>
        <w:t>一是</w:t>
      </w:r>
      <w:r>
        <w:rPr>
          <w:rFonts w:hint="eastAsia" w:ascii="仿宋_GB2312" w:hAnsi="宋体" w:eastAsia="仿宋_GB2312" w:cs="仿宋_GB2312"/>
          <w:sz w:val="32"/>
          <w:szCs w:val="32"/>
        </w:rPr>
        <w:t>人员经费工资福利支出的增加</w:t>
      </w:r>
      <w:r>
        <w:rPr>
          <w:rFonts w:hint="eastAsia" w:ascii="仿宋_GB2312" w:eastAsia="仿宋_GB2312" w:cs="仿宋_GB2312"/>
          <w:sz w:val="32"/>
          <w:szCs w:val="32"/>
        </w:rPr>
        <w:t>；二是增加了疾病预防控制事业发展支出；</w:t>
      </w:r>
      <w:r>
        <w:rPr>
          <w:rFonts w:hint="eastAsia" w:ascii="仿宋_GB2312" w:hAnsi="仿宋_GB2312" w:eastAsia="仿宋_GB2312" w:cs="仿宋_GB2312"/>
          <w:sz w:val="32"/>
          <w:szCs w:val="32"/>
        </w:rPr>
        <w:t>支出预算</w:t>
      </w:r>
      <w:r>
        <w:rPr>
          <w:rFonts w:ascii="仿宋_GB2312" w:hAnsi="仿宋_GB2312" w:eastAsia="仿宋_GB2312" w:cs="仿宋_GB2312"/>
          <w:sz w:val="32"/>
          <w:szCs w:val="32"/>
        </w:rPr>
        <w:t>239.5673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86.0239</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35.91%</w:t>
      </w:r>
      <w:r>
        <w:rPr>
          <w:rFonts w:hint="eastAsia" w:ascii="仿宋_GB2312" w:hAnsi="仿宋_GB2312" w:eastAsia="仿宋_GB2312" w:cs="仿宋_GB2312"/>
          <w:sz w:val="32"/>
          <w:szCs w:val="32"/>
        </w:rPr>
        <w:t>，主要原因是</w:t>
      </w:r>
      <w:r>
        <w:rPr>
          <w:rFonts w:hint="eastAsia" w:ascii="仿宋_GB2312" w:hAnsi="宋体" w:eastAsia="仿宋_GB2312" w:cs="仿宋_GB2312"/>
          <w:sz w:val="32"/>
          <w:szCs w:val="32"/>
        </w:rPr>
        <w:t>人员经费工资福利支出的增加</w:t>
      </w:r>
      <w:r>
        <w:rPr>
          <w:rFonts w:ascii="仿宋_GB2312" w:hAnsi="宋体" w:eastAsia="仿宋_GB2312" w:cs="仿宋_GB2312"/>
          <w:sz w:val="32"/>
          <w:szCs w:val="32"/>
        </w:rPr>
        <w:t>84.5239</w:t>
      </w:r>
      <w:r>
        <w:rPr>
          <w:rFonts w:hint="eastAsia" w:ascii="仿宋_GB2312" w:hAnsi="仿宋_GB2312" w:eastAsia="仿宋_GB2312" w:cs="仿宋_GB2312"/>
          <w:sz w:val="32"/>
          <w:szCs w:val="32"/>
        </w:rPr>
        <w:t>万元。</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，与上年保持不变；公务用车购置及运行费</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，与上年保持不变。</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下降</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，与上年保持不变。其中：办公费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 xml:space="preserve"> 1.5</w:t>
      </w:r>
      <w:r>
        <w:rPr>
          <w:rFonts w:hint="eastAsia" w:ascii="仿宋_GB2312" w:hAnsi="仿宋_GB2312" w:eastAsia="仿宋_GB2312" w:cs="仿宋_GB2312"/>
          <w:sz w:val="32"/>
          <w:szCs w:val="32"/>
        </w:rPr>
        <w:t>万元等。</w:t>
      </w:r>
    </w:p>
    <w:p>
      <w:pPr>
        <w:rPr>
          <w:rFonts w:ascii="仿宋_GB2312" w:hAnsi="仿宋_GB2312" w:eastAsia="仿宋_GB2312" w:cs="Times New Roman"/>
          <w:sz w:val="32"/>
          <w:szCs w:val="32"/>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四、政府采购情况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bookmarkStart w:id="0" w:name="_GoBack"/>
      <w:bookmarkEnd w:id="0"/>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ind w:firstLine="640" w:firstLineChars="200"/>
        <w:rPr>
          <w:rFonts w:ascii="黑体" w:hAnsi="黑体" w:eastAsia="黑体" w:cs="Times New Roman"/>
          <w:sz w:val="32"/>
          <w:szCs w:val="32"/>
        </w:rPr>
      </w:pPr>
      <w:r>
        <w:rPr>
          <w:rFonts w:hint="eastAsia" w:ascii="黑体" w:hAnsi="黑体" w:eastAsia="黑体" w:cs="黑体"/>
          <w:sz w:val="32"/>
          <w:szCs w:val="32"/>
        </w:rPr>
        <w:t>五、国有资产占有使用情况</w:t>
      </w:r>
    </w:p>
    <w:p>
      <w:pPr>
        <w:ind w:firstLine="640"/>
        <w:rPr>
          <w:rFonts w:ascii="仿宋_GB2312" w:hAnsi="仿宋_GB2312" w:eastAsia="仿宋_GB2312" w:cs="Times New Roman"/>
          <w:sz w:val="32"/>
          <w:szCs w:val="32"/>
        </w:rPr>
      </w:pPr>
      <w:r>
        <w:rPr>
          <w:rFonts w:hint="eastAsia" w:ascii="仿宋_GB2312" w:eastAsia="仿宋_GB2312" w:cs="仿宋_GB2312"/>
          <w:sz w:val="32"/>
          <w:szCs w:val="32"/>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Fonts w:hint="eastAsia" w:ascii="仿宋_GB2312" w:hAnsi="仿宋_GB2312" w:eastAsia="仿宋_GB2312" w:cs="仿宋_GB2312"/>
          <w:sz w:val="32"/>
          <w:szCs w:val="32"/>
        </w:rPr>
        <w:t>本部门占有使用国有资产</w:t>
      </w:r>
      <w:r>
        <w:rPr>
          <w:rFonts w:hint="eastAsia" w:ascii="仿宋_GB2312" w:hAnsi="宋体" w:eastAsia="仿宋_GB2312" w:cs="仿宋_GB2312"/>
          <w:kern w:val="0"/>
          <w:sz w:val="32"/>
          <w:szCs w:val="32"/>
        </w:rPr>
        <w:t>总额为</w:t>
      </w:r>
      <w:r>
        <w:rPr>
          <w:rFonts w:ascii="仿宋_GB2312" w:hAnsi="宋体" w:eastAsia="仿宋_GB2312" w:cs="仿宋_GB2312"/>
          <w:kern w:val="0"/>
          <w:sz w:val="32"/>
          <w:szCs w:val="32"/>
        </w:rPr>
        <w:t>735.72</w:t>
      </w:r>
      <w:r>
        <w:rPr>
          <w:rFonts w:hint="eastAsia" w:ascii="仿宋_GB2312" w:hAnsi="宋体" w:eastAsia="仿宋_GB2312" w:cs="仿宋_GB2312"/>
          <w:kern w:val="0"/>
          <w:sz w:val="32"/>
          <w:szCs w:val="32"/>
        </w:rPr>
        <w:t>万元</w:t>
      </w:r>
      <w:r>
        <w:rPr>
          <w:rFonts w:hint="eastAsia" w:ascii="仿宋_GB2312" w:hAnsi="仿宋_GB2312" w:eastAsia="仿宋_GB2312" w:cs="仿宋_GB2312"/>
          <w:sz w:val="32"/>
          <w:szCs w:val="32"/>
        </w:rPr>
        <w:t>，</w:t>
      </w:r>
      <w:r>
        <w:rPr>
          <w:rFonts w:hint="eastAsia" w:ascii="仿宋_GB2312" w:hAnsi="宋体" w:eastAsia="仿宋_GB2312" w:cs="仿宋_GB2312"/>
          <w:kern w:val="0"/>
          <w:sz w:val="32"/>
          <w:szCs w:val="32"/>
        </w:rPr>
        <w:t>其中固定资产中包含的土地、房屋、建筑物为</w:t>
      </w:r>
      <w:r>
        <w:rPr>
          <w:rFonts w:ascii="仿宋_GB2312" w:hAnsi="宋体" w:eastAsia="仿宋_GB2312" w:cs="仿宋_GB2312"/>
          <w:kern w:val="0"/>
          <w:sz w:val="32"/>
          <w:szCs w:val="32"/>
        </w:rPr>
        <w:t>307</w:t>
      </w:r>
      <w:r>
        <w:rPr>
          <w:rFonts w:ascii="仿宋_GB2312" w:eastAsia="仿宋_GB2312" w:cs="仿宋_GB2312"/>
          <w:kern w:val="0"/>
          <w:sz w:val="32"/>
          <w:szCs w:val="32"/>
        </w:rPr>
        <w:t>.</w:t>
      </w:r>
      <w:r>
        <w:rPr>
          <w:rFonts w:ascii="仿宋_GB2312" w:hAnsi="宋体" w:eastAsia="仿宋_GB2312" w:cs="仿宋_GB2312"/>
          <w:kern w:val="0"/>
          <w:sz w:val="32"/>
          <w:szCs w:val="32"/>
        </w:rPr>
        <w:t>42</w:t>
      </w:r>
      <w:r>
        <w:rPr>
          <w:rFonts w:hint="eastAsia" w:ascii="仿宋_GB2312" w:hAnsi="宋体" w:eastAsia="仿宋_GB2312" w:cs="仿宋_GB2312"/>
          <w:kern w:val="0"/>
          <w:sz w:val="32"/>
          <w:szCs w:val="32"/>
        </w:rPr>
        <w:t>万元，通用设备为</w:t>
      </w:r>
      <w:r>
        <w:rPr>
          <w:rFonts w:ascii="仿宋_GB2312" w:hAnsi="宋体" w:eastAsia="仿宋_GB2312" w:cs="仿宋_GB2312"/>
          <w:kern w:val="0"/>
          <w:sz w:val="32"/>
          <w:szCs w:val="32"/>
        </w:rPr>
        <w:t>176.89</w:t>
      </w:r>
      <w:r>
        <w:rPr>
          <w:rFonts w:hint="eastAsia" w:ascii="仿宋_GB2312" w:hAnsi="宋体" w:eastAsia="仿宋_GB2312" w:cs="仿宋_GB2312"/>
          <w:kern w:val="0"/>
          <w:sz w:val="32"/>
          <w:szCs w:val="32"/>
        </w:rPr>
        <w:t>万元，专用设备为</w:t>
      </w:r>
      <w:r>
        <w:rPr>
          <w:rFonts w:ascii="仿宋_GB2312" w:hAnsi="宋体" w:eastAsia="仿宋_GB2312" w:cs="仿宋_GB2312"/>
          <w:kern w:val="0"/>
          <w:sz w:val="32"/>
          <w:szCs w:val="32"/>
        </w:rPr>
        <w:t>244.71</w:t>
      </w:r>
      <w:r>
        <w:rPr>
          <w:rFonts w:hint="eastAsia" w:ascii="仿宋_GB2312" w:hAnsi="宋体" w:eastAsia="仿宋_GB2312" w:cs="仿宋_GB2312"/>
          <w:kern w:val="0"/>
          <w:sz w:val="32"/>
          <w:szCs w:val="32"/>
        </w:rPr>
        <w:t>万元，家具、用具、装具为</w:t>
      </w:r>
      <w:r>
        <w:rPr>
          <w:rFonts w:ascii="仿宋_GB2312" w:hAnsi="宋体" w:eastAsia="仿宋_GB2312" w:cs="仿宋_GB2312"/>
          <w:kern w:val="0"/>
          <w:sz w:val="32"/>
          <w:szCs w:val="32"/>
        </w:rPr>
        <w:t>6.7</w:t>
      </w:r>
      <w:r>
        <w:rPr>
          <w:rFonts w:hint="eastAsia" w:ascii="仿宋_GB2312" w:hAnsi="宋体" w:eastAsia="仿宋_GB2312" w:cs="仿宋_GB2312"/>
          <w:kern w:val="0"/>
          <w:sz w:val="32"/>
          <w:szCs w:val="32"/>
        </w:rPr>
        <w:t>万元。</w:t>
      </w:r>
      <w:r>
        <w:rPr>
          <w:rFonts w:hint="eastAsia" w:ascii="仿宋_GB2312" w:eastAsia="仿宋_GB2312" w:cs="仿宋_GB2312"/>
          <w:sz w:val="32"/>
          <w:szCs w:val="32"/>
        </w:rPr>
        <w:t>本部门共有车辆</w:t>
      </w:r>
      <w:r>
        <w:rPr>
          <w:rFonts w:ascii="仿宋_GB2312" w:eastAsia="仿宋_GB2312" w:cs="仿宋_GB2312"/>
          <w:sz w:val="32"/>
          <w:szCs w:val="32"/>
        </w:rPr>
        <w:t>3</w:t>
      </w:r>
      <w:r>
        <w:rPr>
          <w:rFonts w:hint="eastAsia" w:ascii="仿宋_GB2312" w:eastAsia="仿宋_GB2312" w:cs="仿宋_GB2312"/>
          <w:sz w:val="32"/>
          <w:szCs w:val="32"/>
        </w:rPr>
        <w:t>辆，其中：一般公务用车</w:t>
      </w:r>
      <w:r>
        <w:rPr>
          <w:rFonts w:ascii="仿宋_GB2312" w:eastAsia="仿宋_GB2312" w:cs="仿宋_GB2312"/>
          <w:sz w:val="32"/>
          <w:szCs w:val="32"/>
        </w:rPr>
        <w:t>1</w:t>
      </w:r>
      <w:r>
        <w:rPr>
          <w:rFonts w:hint="eastAsia" w:ascii="仿宋_GB2312" w:eastAsia="仿宋_GB2312" w:cs="仿宋_GB2312"/>
          <w:sz w:val="32"/>
          <w:szCs w:val="32"/>
        </w:rPr>
        <w:t>辆（用于机要通信、应急工作）、一般执法执勤用车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2</w:t>
      </w:r>
      <w:r>
        <w:rPr>
          <w:rFonts w:hint="eastAsia" w:ascii="仿宋_GB2312" w:eastAsia="仿宋_GB2312" w:cs="仿宋_GB2312"/>
          <w:sz w:val="32"/>
          <w:szCs w:val="32"/>
        </w:rPr>
        <w:t>辆，其他用车主要是</w:t>
      </w:r>
      <w:r>
        <w:rPr>
          <w:rFonts w:hint="eastAsia" w:ascii="仿宋_GB2312" w:hAnsi="宋体" w:eastAsia="仿宋_GB2312" w:cs="仿宋_GB2312"/>
          <w:sz w:val="32"/>
          <w:szCs w:val="32"/>
        </w:rPr>
        <w:t>疫苗配送车和疫情处置车</w:t>
      </w:r>
      <w:r>
        <w:rPr>
          <w:rFonts w:hint="eastAsia" w:ascii="仿宋_GB2312" w:eastAsia="仿宋_GB2312" w:cs="仿宋_GB2312"/>
          <w:sz w:val="32"/>
          <w:szCs w:val="32"/>
        </w:rPr>
        <w:t>；</w:t>
      </w:r>
      <w:r>
        <w:rPr>
          <w:rFonts w:hint="eastAsia" w:ascii="仿宋_GB2312" w:hAnsi="宋体" w:eastAsia="仿宋_GB2312" w:cs="仿宋_GB2312"/>
          <w:kern w:val="0"/>
          <w:sz w:val="32"/>
          <w:szCs w:val="32"/>
        </w:rPr>
        <w:t>单位价值</w:t>
      </w:r>
      <w:r>
        <w:rPr>
          <w:rFonts w:ascii="仿宋_GB2312" w:hAnsi="宋体" w:eastAsia="仿宋_GB2312" w:cs="仿宋_GB2312"/>
          <w:kern w:val="0"/>
          <w:sz w:val="32"/>
          <w:szCs w:val="32"/>
        </w:rPr>
        <w:t>50</w:t>
      </w:r>
      <w:r>
        <w:rPr>
          <w:rFonts w:hint="eastAsia" w:ascii="仿宋_GB2312" w:hAnsi="宋体" w:eastAsia="仿宋_GB2312" w:cs="仿宋_GB2312"/>
          <w:kern w:val="0"/>
          <w:sz w:val="32"/>
          <w:szCs w:val="32"/>
        </w:rPr>
        <w:t>万元以上通用设备</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台（套），单价</w:t>
      </w:r>
      <w:r>
        <w:rPr>
          <w:rFonts w:ascii="仿宋_GB2312" w:hAnsi="宋体" w:eastAsia="仿宋_GB2312" w:cs="仿宋_GB2312"/>
          <w:kern w:val="0"/>
          <w:sz w:val="32"/>
          <w:szCs w:val="32"/>
        </w:rPr>
        <w:t>100</w:t>
      </w:r>
      <w:r>
        <w:rPr>
          <w:rFonts w:hint="eastAsia" w:ascii="仿宋_GB2312" w:hAnsi="宋体" w:eastAsia="仿宋_GB2312" w:cs="仿宋_GB2312"/>
          <w:kern w:val="0"/>
          <w:sz w:val="32"/>
          <w:szCs w:val="32"/>
        </w:rPr>
        <w:t>万元以上专用设备</w:t>
      </w:r>
      <w:r>
        <w:rPr>
          <w:rFonts w:ascii="仿宋_GB2312" w:hAnsi="宋体" w:eastAsia="仿宋_GB2312" w:cs="仿宋_GB2312"/>
          <w:kern w:val="0"/>
          <w:sz w:val="32"/>
          <w:szCs w:val="32"/>
        </w:rPr>
        <w:t>0</w:t>
      </w:r>
      <w:r>
        <w:rPr>
          <w:rFonts w:hint="eastAsia" w:ascii="仿宋_GB2312" w:hAnsi="宋体" w:eastAsia="仿宋_GB2312" w:cs="仿宋_GB2312"/>
          <w:kern w:val="0"/>
          <w:sz w:val="32"/>
          <w:szCs w:val="32"/>
        </w:rPr>
        <w:t>台（套）</w:t>
      </w:r>
      <w:r>
        <w:rPr>
          <w:rFonts w:hint="eastAsia" w:ascii="仿宋_GB2312" w:hAnsi="仿宋_GB2312" w:eastAsia="仿宋_GB2312" w:cs="仿宋_GB2312"/>
          <w:sz w:val="32"/>
          <w:szCs w:val="32"/>
        </w:rPr>
        <w:t>。资产变动情况为：无。</w:t>
      </w:r>
    </w:p>
    <w:p>
      <w:pPr>
        <w:numPr>
          <w:ilvl w:val="0"/>
          <w:numId w:val="5"/>
        </w:numPr>
        <w:rPr>
          <w:rFonts w:ascii="黑体" w:hAnsi="黑体" w:eastAsia="黑体" w:cs="Times New Roman"/>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年，本部门未推进预算绩效信息公开的有关工作情况。</w:t>
      </w:r>
    </w:p>
    <w:p>
      <w:pPr>
        <w:tabs>
          <w:tab w:val="left" w:pos="7410"/>
        </w:tabs>
        <w:ind w:firstLine="551" w:firstLineChars="196"/>
        <w:rPr>
          <w:rFonts w:ascii="宋体" w:cs="宋体"/>
          <w:b/>
          <w:bCs/>
          <w:sz w:val="28"/>
          <w:szCs w:val="28"/>
        </w:rPr>
      </w:pPr>
      <w:r>
        <w:rPr>
          <w:rFonts w:ascii="宋体" w:cs="宋体"/>
          <w:b/>
          <w:bCs/>
          <w:sz w:val="28"/>
          <w:szCs w:val="28"/>
        </w:rPr>
        <w:tab/>
      </w:r>
    </w:p>
    <w:p>
      <w:pPr>
        <w:jc w:val="center"/>
        <w:rPr>
          <w:rFonts w:ascii="黑体" w:hAnsi="方正小标宋简体" w:eastAsia="黑体" w:cs="Times New Roman"/>
          <w:b/>
          <w:bCs/>
          <w:sz w:val="44"/>
          <w:szCs w:val="44"/>
        </w:rPr>
      </w:pPr>
      <w:r>
        <w:rPr>
          <w:rFonts w:hint="eastAsia" w:ascii="黑体" w:hAnsi="方正小标宋简体" w:eastAsia="黑体" w:cs="黑体"/>
          <w:b/>
          <w:bCs/>
          <w:sz w:val="44"/>
          <w:szCs w:val="44"/>
        </w:rPr>
        <w:t>第四部分</w:t>
      </w:r>
      <w:r>
        <w:rPr>
          <w:rFonts w:ascii="黑体" w:hAnsi="方正小标宋简体" w:eastAsia="黑体" w:cs="黑体"/>
          <w:b/>
          <w:bCs/>
          <w:sz w:val="44"/>
          <w:szCs w:val="44"/>
        </w:rPr>
        <w:t xml:space="preserve">  </w:t>
      </w:r>
      <w:r>
        <w:rPr>
          <w:rFonts w:hint="eastAsia" w:ascii="黑体" w:hAnsi="方正小标宋简体" w:eastAsia="黑体" w:cs="黑体"/>
          <w:b/>
          <w:bCs/>
          <w:sz w:val="44"/>
          <w:szCs w:val="44"/>
        </w:rPr>
        <w:t>名词解释</w:t>
      </w:r>
    </w:p>
    <w:p>
      <w:pPr>
        <w:ind w:firstLine="640" w:firstLineChars="200"/>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、一般公共预算拨款收入：指县财政当年拨付的资金。</w:t>
      </w:r>
    </w:p>
    <w:p>
      <w:pPr>
        <w:autoSpaceDE w:val="0"/>
        <w:autoSpaceDN w:val="0"/>
        <w:adjustRightInd w:val="0"/>
        <w:ind w:firstLine="672" w:firstLineChars="210"/>
        <w:jc w:val="left"/>
        <w:rPr>
          <w:rFonts w:ascii="仿宋_GB2312" w:eastAsia="仿宋_GB2312" w:cs="Times New Roman"/>
          <w:sz w:val="32"/>
          <w:szCs w:val="32"/>
        </w:rPr>
      </w:pPr>
      <w:r>
        <w:rPr>
          <w:rFonts w:ascii="仿宋_GB2312" w:hAnsi="仿宋" w:eastAsia="仿宋_GB2312" w:cs="仿宋_GB2312"/>
          <w:kern w:val="0"/>
          <w:sz w:val="32"/>
          <w:szCs w:val="32"/>
        </w:rPr>
        <w:t>2</w:t>
      </w:r>
      <w:r>
        <w:rPr>
          <w:rFonts w:hint="eastAsia" w:ascii="仿宋_GB2312" w:hAnsi="仿宋" w:eastAsia="仿宋_GB2312" w:cs="仿宋_GB2312"/>
          <w:kern w:val="0"/>
          <w:sz w:val="32"/>
          <w:szCs w:val="32"/>
        </w:rPr>
        <w:t>、</w:t>
      </w:r>
      <w:r>
        <w:rPr>
          <w:rFonts w:hint="eastAsia" w:ascii="仿宋_GB2312" w:hAnsi="宋体" w:eastAsia="仿宋_GB2312" w:cs="仿宋_GB2312"/>
          <w:kern w:val="0"/>
          <w:sz w:val="32"/>
          <w:szCs w:val="32"/>
        </w:rPr>
        <w:t>社会保障和就业（类）行政事业单位离退休（款）</w:t>
      </w:r>
      <w:r>
        <w:rPr>
          <w:rFonts w:hint="eastAsia" w:ascii="仿宋_GB2312" w:eastAsia="仿宋_GB2312" w:cs="仿宋_GB2312"/>
          <w:sz w:val="32"/>
          <w:szCs w:val="32"/>
        </w:rPr>
        <w:t>事业单位离退休（项）：指本单位行政事业离退休人员的支出。</w:t>
      </w:r>
    </w:p>
    <w:p>
      <w:pPr>
        <w:autoSpaceDE w:val="0"/>
        <w:autoSpaceDN w:val="0"/>
        <w:adjustRightInd w:val="0"/>
        <w:spacing w:line="52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3</w:t>
      </w:r>
      <w:r>
        <w:rPr>
          <w:rFonts w:hint="eastAsia" w:ascii="仿宋_GB2312" w:hAnsi="仿宋" w:eastAsia="仿宋_GB2312" w:cs="仿宋_GB2312"/>
          <w:kern w:val="0"/>
          <w:sz w:val="32"/>
          <w:szCs w:val="32"/>
        </w:rPr>
        <w:t>、社会保障和就业（类）行政事业单位离退休（款）事业单位离退休（项）：指机关事业单位基本养老保险缴费的支出</w:t>
      </w:r>
    </w:p>
    <w:p>
      <w:pPr>
        <w:autoSpaceDE w:val="0"/>
        <w:autoSpaceDN w:val="0"/>
        <w:adjustRightInd w:val="0"/>
        <w:spacing w:line="52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4</w:t>
      </w:r>
      <w:r>
        <w:rPr>
          <w:rFonts w:hint="eastAsia" w:ascii="仿宋_GB2312" w:hAnsi="仿宋" w:eastAsia="仿宋_GB2312" w:cs="仿宋_GB2312"/>
          <w:kern w:val="0"/>
          <w:sz w:val="32"/>
          <w:szCs w:val="32"/>
        </w:rPr>
        <w:t>、基本支出：指为保障机构正常运转、完成日常工作任务而发生的人员支出和公用支出。</w:t>
      </w:r>
    </w:p>
    <w:p>
      <w:pPr>
        <w:autoSpaceDE w:val="0"/>
        <w:autoSpaceDN w:val="0"/>
        <w:adjustRightInd w:val="0"/>
        <w:spacing w:line="52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5</w:t>
      </w:r>
      <w:r>
        <w:rPr>
          <w:rFonts w:hint="eastAsia" w:ascii="仿宋_GB2312" w:hAnsi="仿宋" w:eastAsia="仿宋_GB2312" w:cs="仿宋_GB2312"/>
          <w:kern w:val="0"/>
          <w:sz w:val="32"/>
          <w:szCs w:val="32"/>
        </w:rPr>
        <w:t>、项目支出：指在基本支出之外为完成特定行政任务和事业发展目标所发生的支出。</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kern w:val="0"/>
          <w:sz w:val="32"/>
          <w:szCs w:val="32"/>
        </w:rPr>
        <w:t>6</w:t>
      </w:r>
      <w:r>
        <w:rPr>
          <w:rFonts w:hint="eastAsia" w:ascii="仿宋_GB2312" w:hAnsi="宋体" w:eastAsia="仿宋_GB2312" w:cs="仿宋_GB2312"/>
          <w:kern w:val="0"/>
          <w:sz w:val="32"/>
          <w:szCs w:val="32"/>
        </w:rPr>
        <w:t>、医疗卫生与计划生育支出（类）公共卫生</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款</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疾病预防控制机构（项）：反映卫生和计划生育部门所属疾病预防控制机构的支出。</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kern w:val="0"/>
          <w:sz w:val="32"/>
          <w:szCs w:val="32"/>
        </w:rPr>
        <w:t>7</w:t>
      </w:r>
      <w:r>
        <w:rPr>
          <w:rFonts w:hint="eastAsia" w:ascii="仿宋_GB2312" w:hAnsi="宋体" w:eastAsia="仿宋_GB2312" w:cs="仿宋_GB2312"/>
          <w:kern w:val="0"/>
          <w:sz w:val="32"/>
          <w:szCs w:val="32"/>
        </w:rPr>
        <w:t>、医疗卫生与计划生育支出（类）公共卫生</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款</w:t>
      </w:r>
      <w:r>
        <w:rPr>
          <w:rFonts w:ascii="仿宋_GB2312" w:hAnsi="宋体" w:eastAsia="仿宋_GB2312" w:cs="仿宋_GB2312"/>
          <w:kern w:val="0"/>
          <w:sz w:val="32"/>
          <w:szCs w:val="32"/>
        </w:rPr>
        <w:t>)</w:t>
      </w:r>
      <w:r>
        <w:t xml:space="preserve"> </w:t>
      </w:r>
      <w:r>
        <w:rPr>
          <w:rFonts w:hint="eastAsia" w:ascii="仿宋_GB2312" w:hAnsi="宋体" w:eastAsia="仿宋_GB2312" w:cs="仿宋_GB2312"/>
          <w:kern w:val="0"/>
          <w:sz w:val="32"/>
          <w:szCs w:val="32"/>
        </w:rPr>
        <w:t>重大公共卫生专项（项）：反映卫生和计划生育部门所属重大公共卫生专项的支出。</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kern w:val="0"/>
          <w:sz w:val="32"/>
          <w:szCs w:val="32"/>
        </w:rPr>
        <w:t>8</w:t>
      </w:r>
      <w:r>
        <w:rPr>
          <w:rFonts w:hint="eastAsia" w:ascii="仿宋_GB2312" w:hAnsi="宋体" w:eastAsia="仿宋_GB2312" w:cs="仿宋_GB2312"/>
          <w:kern w:val="0"/>
          <w:sz w:val="32"/>
          <w:szCs w:val="32"/>
        </w:rPr>
        <w:t>、医疗卫生与计划生育支出（类）公共卫生</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款</w:t>
      </w:r>
      <w:r>
        <w:rPr>
          <w:rFonts w:ascii="仿宋_GB2312" w:hAnsi="宋体" w:eastAsia="仿宋_GB2312" w:cs="仿宋_GB2312"/>
          <w:kern w:val="0"/>
          <w:sz w:val="32"/>
          <w:szCs w:val="32"/>
        </w:rPr>
        <w:t>)</w:t>
      </w:r>
      <w:r>
        <w:t xml:space="preserve"> </w:t>
      </w:r>
      <w:r>
        <w:rPr>
          <w:rFonts w:hint="eastAsia" w:ascii="仿宋_GB2312" w:hAnsi="宋体" w:eastAsia="仿宋_GB2312" w:cs="仿宋_GB2312"/>
          <w:kern w:val="0"/>
          <w:sz w:val="32"/>
          <w:szCs w:val="32"/>
        </w:rPr>
        <w:t>其它公共卫生支出（项）：反映卫生和计划生育部门所属其它公共卫生支出。</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color w:val="000000"/>
          <w:kern w:val="0"/>
          <w:sz w:val="32"/>
          <w:szCs w:val="32"/>
        </w:rPr>
        <w:t>9</w:t>
      </w:r>
      <w:r>
        <w:rPr>
          <w:rFonts w:hint="eastAsia" w:ascii="仿宋_GB2312" w:hAnsi="宋体" w:eastAsia="仿宋_GB2312" w:cs="仿宋_GB2312"/>
          <w:color w:val="000000"/>
          <w:kern w:val="0"/>
          <w:sz w:val="32"/>
          <w:szCs w:val="32"/>
        </w:rPr>
        <w:t>、住房保障支出</w:t>
      </w:r>
      <w:r>
        <w:rPr>
          <w:rFonts w:hint="eastAsia" w:ascii="仿宋_GB2312" w:hAnsi="宋体" w:eastAsia="仿宋_GB2312" w:cs="仿宋_GB2312"/>
          <w:kern w:val="0"/>
          <w:sz w:val="32"/>
          <w:szCs w:val="32"/>
        </w:rPr>
        <w:t>（类）城乡社区住宅（款）其它城乡社区住宅（项）：反映本单位的</w:t>
      </w:r>
      <w:r>
        <w:rPr>
          <w:rFonts w:hint="eastAsia" w:ascii="仿宋_GB2312" w:hAnsi="宋体" w:eastAsia="仿宋_GB2312" w:cs="仿宋_GB2312"/>
          <w:color w:val="000000"/>
          <w:kern w:val="0"/>
          <w:sz w:val="32"/>
          <w:szCs w:val="32"/>
        </w:rPr>
        <w:t>住房保障的</w:t>
      </w:r>
      <w:r>
        <w:rPr>
          <w:rFonts w:hint="eastAsia" w:ascii="仿宋_GB2312" w:hAnsi="宋体" w:eastAsia="仿宋_GB2312" w:cs="仿宋_GB2312"/>
          <w:kern w:val="0"/>
          <w:sz w:val="32"/>
          <w:szCs w:val="32"/>
        </w:rPr>
        <w:t>其它城乡社区住宅支出。</w:t>
      </w:r>
    </w:p>
    <w:p>
      <w:pPr>
        <w:autoSpaceDE w:val="0"/>
        <w:autoSpaceDN w:val="0"/>
        <w:adjustRightInd w:val="0"/>
        <w:spacing w:line="520" w:lineRule="exact"/>
        <w:ind w:firstLine="640" w:firstLineChars="200"/>
        <w:rPr>
          <w:rFonts w:ascii="仿宋_GB2312" w:hAnsi="仿宋" w:eastAsia="仿宋_GB2312" w:cs="Times New Roman"/>
          <w:kern w:val="0"/>
          <w:sz w:val="32"/>
          <w:szCs w:val="32"/>
        </w:rPr>
      </w:pPr>
      <w:r>
        <w:rPr>
          <w:rFonts w:ascii="仿宋_GB2312" w:hAnsi="仿宋" w:eastAsia="仿宋_GB2312" w:cs="仿宋_GB2312"/>
          <w:kern w:val="0"/>
          <w:sz w:val="32"/>
          <w:szCs w:val="32"/>
        </w:rPr>
        <w:t>10</w:t>
      </w:r>
      <w:r>
        <w:rPr>
          <w:rFonts w:hint="eastAsia" w:ascii="仿宋_GB2312" w:hAnsi="仿宋" w:eastAsia="仿宋_GB2312" w:cs="仿宋_GB2312"/>
          <w:kern w:val="0"/>
          <w:sz w:val="32"/>
          <w:szCs w:val="32"/>
        </w:rPr>
        <w:t>、</w:t>
      </w:r>
      <w:r>
        <w:rPr>
          <w:rFonts w:ascii="仿宋_GB2312" w:hAnsi="仿宋" w:eastAsia="仿宋_GB2312" w:cs="仿宋_GB2312"/>
          <w:kern w:val="0"/>
          <w:sz w:val="32"/>
          <w:szCs w:val="32"/>
        </w:rPr>
        <w:t xml:space="preserve"> </w:t>
      </w:r>
      <w:r>
        <w:rPr>
          <w:rFonts w:hint="eastAsia" w:ascii="仿宋_GB2312" w:hAnsi="仿宋" w:eastAsia="仿宋_GB2312" w:cs="仿宋_GB2312"/>
          <w:kern w:val="0"/>
          <w:sz w:val="32"/>
          <w:szCs w:val="32"/>
        </w:rPr>
        <w:t>“三公”经费：是指用自有资金安排因公出国（境）费、公务用车购置及运行费及公务接待费。其中，因公出国（境）费反映单位公务出国出境的国际旅费、国外城市间交通费、住宿费、伙食费、培训费、公杂费等支出；公务用车购置及运行费反映单位公务用车、救护车车辆购置支出（含车辆购置税）及租用费、燃料费、维修费、过路过桥费、保险费、安全奖励费用等支出；公务接待费反映单位按规定开支的各类公务接待支出。</w:t>
      </w:r>
    </w:p>
    <w:p>
      <w:pPr>
        <w:autoSpaceDE w:val="0"/>
        <w:autoSpaceDN w:val="0"/>
        <w:adjustRightInd w:val="0"/>
        <w:ind w:firstLine="672" w:firstLineChars="210"/>
        <w:jc w:val="left"/>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11</w:t>
      </w:r>
      <w:r>
        <w:rPr>
          <w:rFonts w:hint="eastAsia" w:ascii="仿宋_GB2312" w:hAnsi="宋体" w:eastAsia="仿宋_GB2312" w:cs="仿宋_GB2312"/>
          <w:color w:val="000000"/>
          <w:kern w:val="0"/>
          <w:sz w:val="32"/>
          <w:szCs w:val="32"/>
        </w:rPr>
        <w:t>、财政拨款收入：指县财政当年拨付的资金。</w:t>
      </w:r>
    </w:p>
    <w:p>
      <w:pPr>
        <w:ind w:firstLine="707" w:firstLineChars="221"/>
        <w:rPr>
          <w:rFonts w:ascii="仿宋_GB2312" w:hAnsi="宋体" w:eastAsia="仿宋_GB2312" w:cs="Times New Roman"/>
          <w:sz w:val="32"/>
          <w:szCs w:val="32"/>
        </w:rPr>
      </w:pPr>
      <w:r>
        <w:rPr>
          <w:rFonts w:ascii="仿宋_GB2312" w:hAnsi="宋体" w:eastAsia="仿宋_GB2312" w:cs="仿宋_GB2312"/>
          <w:color w:val="000000"/>
          <w:kern w:val="0"/>
          <w:sz w:val="32"/>
          <w:szCs w:val="32"/>
        </w:rPr>
        <w:t>12</w:t>
      </w:r>
      <w:r>
        <w:rPr>
          <w:rFonts w:hint="eastAsia" w:ascii="仿宋_GB2312" w:eastAsia="仿宋_GB2312" w:cs="仿宋_GB2312"/>
          <w:color w:val="000000"/>
          <w:kern w:val="0"/>
          <w:sz w:val="32"/>
          <w:szCs w:val="32"/>
        </w:rPr>
        <w:t>、</w:t>
      </w:r>
      <w:r>
        <w:rPr>
          <w:rFonts w:hint="eastAsia" w:ascii="仿宋_GB2312" w:hAnsi="宋体" w:eastAsia="仿宋_GB2312" w:cs="仿宋_GB2312"/>
          <w:color w:val="333333"/>
          <w:sz w:val="32"/>
          <w:szCs w:val="32"/>
          <w:shd w:val="clear" w:color="auto" w:fill="FFFFFF"/>
        </w:rPr>
        <w:t>上级补助收入：事业单位从主管部门和上级单位取得的非</w:t>
      </w:r>
      <w:r>
        <w:rPr>
          <w:rFonts w:hint="eastAsia" w:ascii="仿宋_GB2312" w:hAnsi="宋体" w:eastAsia="仿宋_GB2312" w:cs="仿宋_GB2312"/>
          <w:sz w:val="32"/>
          <w:szCs w:val="32"/>
          <w:shd w:val="clear" w:color="auto" w:fill="FFFFFF"/>
        </w:rPr>
        <w:t>财政补助收入</w:t>
      </w:r>
      <w:r>
        <w:rPr>
          <w:rFonts w:hint="eastAsia" w:ascii="仿宋_GB2312" w:hAnsi="宋体" w:eastAsia="仿宋_GB2312" w:cs="仿宋_GB2312"/>
          <w:sz w:val="32"/>
          <w:szCs w:val="32"/>
        </w:rPr>
        <w:t>。</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color w:val="000000"/>
          <w:kern w:val="0"/>
          <w:sz w:val="32"/>
          <w:szCs w:val="32"/>
        </w:rPr>
        <w:t>13</w:t>
      </w:r>
      <w:r>
        <w:rPr>
          <w:rFonts w:hint="eastAsia" w:ascii="仿宋_GB2312" w:eastAsia="仿宋_GB2312" w:cs="仿宋_GB2312"/>
          <w:color w:val="000000"/>
          <w:kern w:val="0"/>
          <w:sz w:val="32"/>
          <w:szCs w:val="32"/>
        </w:rPr>
        <w:t>、</w:t>
      </w:r>
      <w:r>
        <w:rPr>
          <w:rFonts w:hint="eastAsia" w:ascii="仿宋_GB2312" w:hAnsi="宋体" w:eastAsia="仿宋_GB2312" w:cs="仿宋_GB2312"/>
          <w:kern w:val="0"/>
          <w:sz w:val="32"/>
          <w:szCs w:val="32"/>
        </w:rPr>
        <w:t>事业收入：指事业单位开展专业业务活动及辅助活动所取得的收入。</w:t>
      </w:r>
    </w:p>
    <w:p>
      <w:pPr>
        <w:ind w:firstLine="707" w:firstLineChars="221"/>
        <w:rPr>
          <w:rFonts w:ascii="仿宋_GB2312" w:hAnsi="宋体" w:eastAsia="仿宋_GB2312" w:cs="Times New Roman"/>
          <w:sz w:val="32"/>
          <w:szCs w:val="32"/>
        </w:rPr>
      </w:pPr>
      <w:r>
        <w:rPr>
          <w:rFonts w:ascii="仿宋_GB2312" w:hAnsi="宋体" w:eastAsia="仿宋_GB2312" w:cs="仿宋_GB2312"/>
          <w:kern w:val="0"/>
          <w:sz w:val="32"/>
          <w:szCs w:val="32"/>
        </w:rPr>
        <w:t>14</w:t>
      </w:r>
      <w:r>
        <w:rPr>
          <w:rFonts w:hint="eastAsia" w:ascii="仿宋_GB2312" w:hAnsi="宋体" w:eastAsia="仿宋_GB2312" w:cs="仿宋_GB2312"/>
          <w:kern w:val="0"/>
          <w:sz w:val="32"/>
          <w:szCs w:val="32"/>
        </w:rPr>
        <w:t>、其它收入：是指事业单位除财政补助收入，事业收入，上级补助收入，附属单位上缴收入，经营收入以外的各项收入。</w:t>
      </w:r>
      <w:r>
        <w:rPr>
          <w:rFonts w:hint="eastAsia" w:ascii="仿宋_GB2312" w:hAnsi="宋体" w:eastAsia="仿宋_GB2312" w:cs="仿宋_GB2312"/>
          <w:sz w:val="32"/>
          <w:szCs w:val="32"/>
        </w:rPr>
        <w:t>主要是银行存款利息收入等。</w:t>
      </w:r>
    </w:p>
    <w:p>
      <w:pPr>
        <w:autoSpaceDE w:val="0"/>
        <w:autoSpaceDN w:val="0"/>
        <w:adjustRightInd w:val="0"/>
        <w:ind w:firstLine="672" w:firstLineChars="210"/>
        <w:jc w:val="left"/>
        <w:rPr>
          <w:rFonts w:ascii="仿宋_GB2312" w:hAnsi="宋体" w:eastAsia="仿宋_GB2312" w:cs="Times New Roman"/>
          <w:kern w:val="0"/>
          <w:sz w:val="32"/>
          <w:szCs w:val="32"/>
        </w:rPr>
      </w:pPr>
      <w:r>
        <w:rPr>
          <w:rFonts w:ascii="仿宋_GB2312" w:hAnsi="宋体" w:eastAsia="仿宋_GB2312" w:cs="仿宋_GB2312"/>
          <w:kern w:val="0"/>
          <w:sz w:val="32"/>
          <w:szCs w:val="32"/>
        </w:rPr>
        <w:t>15</w:t>
      </w:r>
      <w:r>
        <w:rPr>
          <w:rFonts w:hint="eastAsia" w:ascii="仿宋_GB2312" w:hAnsi="宋体" w:eastAsia="仿宋_GB2312" w:cs="仿宋_GB2312"/>
          <w:kern w:val="0"/>
          <w:sz w:val="32"/>
          <w:szCs w:val="32"/>
        </w:rPr>
        <w:t>、</w:t>
      </w:r>
      <w:r>
        <w:rPr>
          <w:rFonts w:hint="eastAsia" w:ascii="仿宋_GB2312" w:hAnsi="宋体" w:eastAsia="仿宋_GB2312" w:cs="仿宋_GB2312"/>
          <w:sz w:val="32"/>
          <w:szCs w:val="32"/>
        </w:rPr>
        <w:t>用事业基金弥补收支差额：指事业单位在当年的“财政拨款</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收入”、“事业收入”、“经营收入”、“其他收入”不足以安排当年</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支出的情况下，使用以前年度积累的事业基金（事业单位当年收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支相抵后按国家规定提取、用于弥补以后年度收支差额的基金）</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弥补本年度收支缺口的资金。</w:t>
      </w:r>
    </w:p>
    <w:p>
      <w:pPr>
        <w:autoSpaceDE w:val="0"/>
        <w:autoSpaceDN w:val="0"/>
        <w:adjustRightInd w:val="0"/>
        <w:ind w:firstLine="640" w:firstLineChars="200"/>
        <w:jc w:val="left"/>
        <w:rPr>
          <w:rFonts w:ascii="仿宋_GB2312" w:hAnsi="宋体" w:eastAsia="仿宋_GB2312" w:cs="Times New Roman"/>
          <w:kern w:val="0"/>
          <w:sz w:val="32"/>
          <w:szCs w:val="32"/>
        </w:rPr>
      </w:pPr>
      <w:r>
        <w:rPr>
          <w:rFonts w:ascii="仿宋_GB2312" w:hAnsi="宋体" w:eastAsia="仿宋_GB2312" w:cs="仿宋_GB2312"/>
          <w:kern w:val="0"/>
          <w:sz w:val="32"/>
          <w:szCs w:val="32"/>
        </w:rPr>
        <w:t>16</w:t>
      </w:r>
      <w:r>
        <w:rPr>
          <w:rFonts w:hint="eastAsia" w:ascii="仿宋_GB2312" w:hAnsi="宋体" w:eastAsia="仿宋_GB2312" w:cs="仿宋_GB2312"/>
          <w:kern w:val="0"/>
          <w:sz w:val="32"/>
          <w:szCs w:val="32"/>
        </w:rPr>
        <w:t>、结余分配：指事业单位按规定提取的职工福利基金、事业基金和缴纳的所得税，以及建设单位按规定应交回的基本建设竣工项目结余资金。</w:t>
      </w:r>
    </w:p>
    <w:p>
      <w:pPr>
        <w:autoSpaceDE w:val="0"/>
        <w:autoSpaceDN w:val="0"/>
        <w:adjustRightInd w:val="0"/>
        <w:ind w:firstLine="640" w:firstLineChars="200"/>
        <w:jc w:val="left"/>
        <w:rPr>
          <w:rFonts w:ascii="仿宋_GB2312" w:hAnsi="宋体" w:eastAsia="仿宋_GB2312" w:cs="Times New Roman"/>
          <w:color w:val="000000"/>
          <w:kern w:val="0"/>
          <w:sz w:val="32"/>
          <w:szCs w:val="32"/>
        </w:rPr>
      </w:pPr>
      <w:r>
        <w:rPr>
          <w:rFonts w:ascii="仿宋_GB2312" w:hAnsi="宋体" w:eastAsia="仿宋_GB2312" w:cs="仿宋_GB2312"/>
          <w:color w:val="000000"/>
          <w:kern w:val="0"/>
          <w:sz w:val="32"/>
          <w:szCs w:val="32"/>
        </w:rPr>
        <w:t>17</w:t>
      </w:r>
      <w:r>
        <w:rPr>
          <w:rFonts w:hint="eastAsia" w:ascii="仿宋_GB2312" w:hAnsi="宋体" w:eastAsia="仿宋_GB2312" w:cs="仿宋_GB2312"/>
          <w:color w:val="000000"/>
          <w:kern w:val="0"/>
          <w:sz w:val="32"/>
          <w:szCs w:val="32"/>
        </w:rPr>
        <w:t>、</w:t>
      </w:r>
      <w:r>
        <w:rPr>
          <w:rFonts w:hint="eastAsia" w:ascii="仿宋_GB2312" w:hAnsi="宋体" w:eastAsia="仿宋_GB2312" w:cs="仿宋_GB2312"/>
          <w:kern w:val="0"/>
          <w:sz w:val="32"/>
          <w:szCs w:val="32"/>
        </w:rPr>
        <w:t>机</w:t>
      </w:r>
      <w:r>
        <w:rPr>
          <w:rFonts w:hint="eastAsia" w:ascii="仿宋_GB2312" w:hAnsi="宋体" w:eastAsia="仿宋_GB2312" w:cs="仿宋_GB2312"/>
          <w:color w:val="000000"/>
          <w:kern w:val="0"/>
          <w:sz w:val="32"/>
          <w:szCs w:val="32"/>
        </w:rPr>
        <w:t>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27BCE"/>
    <w:multiLevelType w:val="multilevel"/>
    <w:tmpl w:val="40327BCE"/>
    <w:lvl w:ilvl="0" w:tentative="0">
      <w:start w:val="6"/>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002D5"/>
    <w:rsid w:val="00034D5C"/>
    <w:rsid w:val="000554C3"/>
    <w:rsid w:val="0008559B"/>
    <w:rsid w:val="00093CAC"/>
    <w:rsid w:val="000D69AF"/>
    <w:rsid w:val="000E3FD4"/>
    <w:rsid w:val="000F3F30"/>
    <w:rsid w:val="000F6650"/>
    <w:rsid w:val="00121BCF"/>
    <w:rsid w:val="001273E0"/>
    <w:rsid w:val="00182742"/>
    <w:rsid w:val="001928C3"/>
    <w:rsid w:val="00253621"/>
    <w:rsid w:val="002559CE"/>
    <w:rsid w:val="002B168D"/>
    <w:rsid w:val="002B2C12"/>
    <w:rsid w:val="002E2F17"/>
    <w:rsid w:val="002F00FA"/>
    <w:rsid w:val="00320F01"/>
    <w:rsid w:val="00322302"/>
    <w:rsid w:val="00336388"/>
    <w:rsid w:val="0033669E"/>
    <w:rsid w:val="00360838"/>
    <w:rsid w:val="00361D7D"/>
    <w:rsid w:val="003702F5"/>
    <w:rsid w:val="00384A87"/>
    <w:rsid w:val="003A3B37"/>
    <w:rsid w:val="003A5D2B"/>
    <w:rsid w:val="003C5A0E"/>
    <w:rsid w:val="00401E42"/>
    <w:rsid w:val="004129C3"/>
    <w:rsid w:val="004333F5"/>
    <w:rsid w:val="004359B7"/>
    <w:rsid w:val="00456657"/>
    <w:rsid w:val="00482CF6"/>
    <w:rsid w:val="004C5C76"/>
    <w:rsid w:val="004C6272"/>
    <w:rsid w:val="004D2911"/>
    <w:rsid w:val="004D32C2"/>
    <w:rsid w:val="004E09A7"/>
    <w:rsid w:val="004F39ED"/>
    <w:rsid w:val="005266DF"/>
    <w:rsid w:val="0052731C"/>
    <w:rsid w:val="00551A6D"/>
    <w:rsid w:val="00555709"/>
    <w:rsid w:val="005610DF"/>
    <w:rsid w:val="005922B1"/>
    <w:rsid w:val="005E5FEC"/>
    <w:rsid w:val="005F3E60"/>
    <w:rsid w:val="006330B8"/>
    <w:rsid w:val="00672FF7"/>
    <w:rsid w:val="0075068D"/>
    <w:rsid w:val="00762C01"/>
    <w:rsid w:val="00777C03"/>
    <w:rsid w:val="0079394B"/>
    <w:rsid w:val="007B64F5"/>
    <w:rsid w:val="007C285C"/>
    <w:rsid w:val="007E60AC"/>
    <w:rsid w:val="007E6878"/>
    <w:rsid w:val="00803183"/>
    <w:rsid w:val="00842494"/>
    <w:rsid w:val="008B1A4B"/>
    <w:rsid w:val="008B786D"/>
    <w:rsid w:val="008C0DC9"/>
    <w:rsid w:val="00936FC0"/>
    <w:rsid w:val="00997BD8"/>
    <w:rsid w:val="009B1363"/>
    <w:rsid w:val="009C2D28"/>
    <w:rsid w:val="009C6B3F"/>
    <w:rsid w:val="009D18F7"/>
    <w:rsid w:val="009E4DD0"/>
    <w:rsid w:val="00A403C0"/>
    <w:rsid w:val="00A41FB5"/>
    <w:rsid w:val="00A81BDB"/>
    <w:rsid w:val="00AE0B85"/>
    <w:rsid w:val="00AE4752"/>
    <w:rsid w:val="00B3451D"/>
    <w:rsid w:val="00B52200"/>
    <w:rsid w:val="00B74ADE"/>
    <w:rsid w:val="00B74AF9"/>
    <w:rsid w:val="00B77ADD"/>
    <w:rsid w:val="00B8748E"/>
    <w:rsid w:val="00B96C87"/>
    <w:rsid w:val="00BA297D"/>
    <w:rsid w:val="00BB17CA"/>
    <w:rsid w:val="00BE76D3"/>
    <w:rsid w:val="00BF5965"/>
    <w:rsid w:val="00C45F46"/>
    <w:rsid w:val="00C620B9"/>
    <w:rsid w:val="00CA54AB"/>
    <w:rsid w:val="00CB5FD2"/>
    <w:rsid w:val="00CD2B55"/>
    <w:rsid w:val="00CD5690"/>
    <w:rsid w:val="00D016C7"/>
    <w:rsid w:val="00D02E2B"/>
    <w:rsid w:val="00D07E3D"/>
    <w:rsid w:val="00D162B9"/>
    <w:rsid w:val="00DD213C"/>
    <w:rsid w:val="00DF250B"/>
    <w:rsid w:val="00E10219"/>
    <w:rsid w:val="00E236FC"/>
    <w:rsid w:val="00E34750"/>
    <w:rsid w:val="00E761B5"/>
    <w:rsid w:val="00EF2B4A"/>
    <w:rsid w:val="00F132DA"/>
    <w:rsid w:val="00F239AE"/>
    <w:rsid w:val="00F455EB"/>
    <w:rsid w:val="00FA3749"/>
    <w:rsid w:val="00FC7FC2"/>
    <w:rsid w:val="00FD6D83"/>
    <w:rsid w:val="00FE5EA5"/>
    <w:rsid w:val="081D07C1"/>
    <w:rsid w:val="0E582424"/>
    <w:rsid w:val="2C483092"/>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5"/>
    <w:qFormat/>
    <w:uiPriority w:val="99"/>
    <w:pPr>
      <w:ind w:left="100" w:leftChars="2500"/>
    </w:pPr>
  </w:style>
  <w:style w:type="character" w:customStyle="1" w:styleId="5">
    <w:name w:val="Date Char"/>
    <w:basedOn w:val="3"/>
    <w:link w:val="2"/>
    <w:semiHidden/>
    <w:qFormat/>
    <w:uiPriority w:val="99"/>
    <w:rPr>
      <w:rFonts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10</Pages>
  <Words>420</Words>
  <Characters>2399</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2018-04-23T08:15:59Z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