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sz w:val="84"/>
          <w:szCs w:val="84"/>
          <w:lang w:val="en-US" w:eastAsia="zh-CN"/>
        </w:rPr>
      </w:pPr>
    </w:p>
    <w:p>
      <w:pPr>
        <w:jc w:val="center"/>
        <w:rPr>
          <w:rFonts w:hint="eastAsia" w:ascii="方正小标宋简体" w:hAnsi="方正小标宋简体" w:eastAsia="方正小标宋简体" w:cs="方正小标宋简体"/>
          <w:sz w:val="84"/>
          <w:szCs w:val="84"/>
          <w:lang w:val="en-US" w:eastAsia="zh-CN"/>
        </w:rPr>
      </w:pPr>
    </w:p>
    <w:p>
      <w:pPr>
        <w:jc w:val="center"/>
        <w:rPr>
          <w:rFonts w:hint="eastAsia" w:ascii="黑体" w:hAnsi="黑体" w:eastAsia="黑体" w:cs="黑体"/>
          <w:sz w:val="48"/>
          <w:szCs w:val="48"/>
          <w:lang w:val="en-US" w:eastAsia="zh-CN"/>
        </w:rPr>
      </w:pPr>
      <w:r>
        <w:rPr>
          <w:rFonts w:hint="eastAsia" w:ascii="黑体" w:hAnsi="黑体" w:eastAsia="黑体" w:cs="黑体"/>
          <w:sz w:val="48"/>
          <w:szCs w:val="48"/>
          <w:lang w:val="en-US" w:eastAsia="zh-CN"/>
        </w:rPr>
        <w:t>2016年蕉岭县机构编制委员会办公室</w:t>
      </w:r>
    </w:p>
    <w:p>
      <w:pPr>
        <w:jc w:val="center"/>
        <w:rPr>
          <w:rFonts w:hint="eastAsia" w:ascii="黑体" w:hAnsi="黑体" w:eastAsia="黑体" w:cs="黑体"/>
          <w:sz w:val="48"/>
          <w:szCs w:val="48"/>
          <w:lang w:val="en-US" w:eastAsia="zh-CN"/>
        </w:rPr>
      </w:pPr>
      <w:r>
        <w:rPr>
          <w:rFonts w:hint="eastAsia" w:ascii="黑体" w:hAnsi="黑体" w:eastAsia="黑体" w:cs="黑体"/>
          <w:sz w:val="48"/>
          <w:szCs w:val="48"/>
          <w:lang w:val="en-US" w:eastAsia="zh-CN"/>
        </w:rPr>
        <w:t>部门预算</w:t>
      </w:r>
    </w:p>
    <w:p>
      <w:pPr>
        <w:jc w:val="center"/>
        <w:rPr>
          <w:rFonts w:hint="eastAsia" w:ascii="方正小标宋简体" w:hAnsi="方正小标宋简体" w:eastAsia="方正小标宋简体" w:cs="方正小标宋简体"/>
          <w:sz w:val="84"/>
          <w:szCs w:val="84"/>
          <w:lang w:val="en-US" w:eastAsia="zh-CN"/>
        </w:rPr>
      </w:pPr>
    </w:p>
    <w:p>
      <w:pPr>
        <w:jc w:val="center"/>
        <w:rPr>
          <w:rFonts w:hint="eastAsia" w:ascii="方正小标宋简体" w:hAnsi="方正小标宋简体" w:eastAsia="方正小标宋简体" w:cs="方正小标宋简体"/>
          <w:sz w:val="84"/>
          <w:szCs w:val="84"/>
          <w:lang w:val="en-US" w:eastAsia="zh-CN"/>
        </w:rPr>
      </w:pPr>
    </w:p>
    <w:p>
      <w:pPr>
        <w:jc w:val="center"/>
        <w:rPr>
          <w:rFonts w:hint="eastAsia" w:ascii="黑体" w:hAnsi="黑体" w:eastAsia="黑体" w:cs="黑体"/>
          <w:sz w:val="44"/>
          <w:szCs w:val="44"/>
          <w:lang w:val="en-US" w:eastAsia="zh-CN"/>
        </w:rPr>
      </w:pPr>
      <w:r>
        <w:rPr>
          <w:rFonts w:hint="eastAsia" w:ascii="方正小标宋简体" w:hAnsi="方正小标宋简体" w:eastAsia="方正小标宋简体" w:cs="方正小标宋简体"/>
          <w:sz w:val="84"/>
          <w:szCs w:val="84"/>
          <w:lang w:val="en-US" w:eastAsia="zh-CN"/>
        </w:rPr>
        <w:br w:type="page"/>
      </w:r>
    </w:p>
    <w:p>
      <w:pPr>
        <w:jc w:val="center"/>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目 录</w:t>
      </w:r>
    </w:p>
    <w:p>
      <w:pPr>
        <w:jc w:val="center"/>
        <w:rPr>
          <w:rFonts w:hint="eastAsia" w:ascii="黑体" w:hAnsi="黑体" w:eastAsia="黑体" w:cs="黑体"/>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left"/>
        <w:textAlignment w:val="auto"/>
        <w:outlineLvl w:val="9"/>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第一部分 蕉岭县机构编制委员会概况</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主要职责</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机构设置</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第二部分  2016年部门预算表</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收支总体情况表</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收入总体情况表</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支出总体情况表</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财政拨款收支总体情况表</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一般公共预算支出情况表（按功能分类科目）</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一般公共预算基本支出情况表（按支出经济分类科目）</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一般公共预算项目支出情况表（按支出经济分类科目）</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一般公共预算安排的行政经费及“三公”经费预算表</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政府性基金预算支出情况表</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部门预算基本支出预算表</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部门预算项目支出及其他支出预算表</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第三部分  2016年部门预算情况说明</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第四部分  名词解释</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黑体" w:hAnsi="黑体" w:eastAsia="黑体" w:cs="黑体"/>
          <w:sz w:val="32"/>
          <w:szCs w:val="32"/>
          <w:lang w:val="en-US" w:eastAsia="zh-CN"/>
        </w:rPr>
      </w:pPr>
    </w:p>
    <w:p>
      <w:pPr>
        <w:jc w:val="center"/>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第一部分  蕉岭县机构编制委员会办公室概况</w:t>
      </w:r>
    </w:p>
    <w:p>
      <w:pPr>
        <w:jc w:val="both"/>
        <w:rPr>
          <w:rFonts w:hint="eastAsia" w:ascii="黑体" w:hAnsi="黑体" w:eastAsia="黑体" w:cs="黑体"/>
          <w:sz w:val="44"/>
          <w:szCs w:val="4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jc w:val="left"/>
        <w:textAlignment w:val="auto"/>
        <w:outlineLvl w:val="9"/>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一、主要职责：</w:t>
      </w:r>
    </w:p>
    <w:p>
      <w:pPr>
        <w:jc w:val="left"/>
        <w:rPr>
          <w:rFonts w:ascii="仿宋" w:hAnsi="仿宋" w:eastAsia="仿宋" w:cs="仿宋"/>
          <w:color w:val="000000"/>
          <w:sz w:val="32"/>
          <w:szCs w:val="32"/>
        </w:rPr>
      </w:pPr>
      <w:r>
        <w:rPr>
          <w:rFonts w:hint="eastAsia" w:ascii="仿宋" w:hAnsi="仿宋" w:eastAsia="仿宋" w:cs="仿宋"/>
          <w:color w:val="000000"/>
          <w:sz w:val="32"/>
          <w:szCs w:val="32"/>
        </w:rPr>
        <w:t>1、贯彻执行中央和省、市有关行政管理体制和机构改革以及机构编制管理的方针政策和法律法规，拟订机构编制有关制度、实施办法并监督执行；统一管理全县党政群机关（含党委、政府各部门，人大、政协、法院、检察院机关，民主党派和人民团体机关，以及其他行政机构，下同）和事业单位的机构编制。</w:t>
      </w:r>
    </w:p>
    <w:p>
      <w:pPr>
        <w:rPr>
          <w:rFonts w:ascii="仿宋" w:hAnsi="仿宋" w:eastAsia="仿宋" w:cs="仿宋"/>
          <w:color w:val="000000"/>
          <w:sz w:val="32"/>
          <w:szCs w:val="32"/>
        </w:rPr>
      </w:pPr>
      <w:r>
        <w:rPr>
          <w:rFonts w:hint="eastAsia" w:ascii="仿宋" w:hAnsi="仿宋" w:eastAsia="仿宋" w:cs="仿宋"/>
          <w:color w:val="000000"/>
          <w:sz w:val="32"/>
          <w:szCs w:val="32"/>
        </w:rPr>
        <w:t>2、负责拟订全县行政管理体制和机构改革总体方案并组织实施，审核县直机关和镇机构改革方案。</w:t>
      </w:r>
    </w:p>
    <w:p>
      <w:pPr>
        <w:rPr>
          <w:rFonts w:ascii="仿宋" w:hAnsi="仿宋" w:eastAsia="仿宋" w:cs="仿宋"/>
          <w:color w:val="000000"/>
          <w:sz w:val="32"/>
          <w:szCs w:val="32"/>
        </w:rPr>
      </w:pPr>
      <w:r>
        <w:rPr>
          <w:rFonts w:hint="eastAsia" w:ascii="仿宋" w:hAnsi="仿宋" w:eastAsia="仿宋" w:cs="仿宋"/>
          <w:color w:val="000000"/>
          <w:sz w:val="32"/>
          <w:szCs w:val="32"/>
        </w:rPr>
        <w:t>3、管理县直机关的职能配置、机构设置、人员编制和领导职数，审核县机关的机构设置与调整，分配和调整县、镇行政编制。</w:t>
      </w:r>
    </w:p>
    <w:p>
      <w:pPr>
        <w:rPr>
          <w:rFonts w:ascii="仿宋" w:hAnsi="仿宋" w:eastAsia="仿宋" w:cs="仿宋"/>
          <w:color w:val="000000"/>
          <w:sz w:val="32"/>
          <w:szCs w:val="32"/>
        </w:rPr>
      </w:pPr>
      <w:r>
        <w:rPr>
          <w:rFonts w:hint="eastAsia" w:ascii="仿宋" w:hAnsi="仿宋" w:eastAsia="仿宋" w:cs="仿宋"/>
          <w:color w:val="000000"/>
          <w:sz w:val="32"/>
          <w:szCs w:val="32"/>
        </w:rPr>
        <w:t>4、协调县直机关之间、县直机关与镇之间的职责分工。</w:t>
      </w:r>
    </w:p>
    <w:p>
      <w:pPr>
        <w:rPr>
          <w:rFonts w:ascii="仿宋" w:hAnsi="仿宋" w:eastAsia="仿宋" w:cs="仿宋"/>
          <w:color w:val="000000"/>
          <w:sz w:val="32"/>
          <w:szCs w:val="32"/>
        </w:rPr>
      </w:pPr>
      <w:r>
        <w:rPr>
          <w:rFonts w:hint="eastAsia" w:ascii="仿宋" w:hAnsi="仿宋" w:eastAsia="仿宋" w:cs="仿宋"/>
          <w:color w:val="000000"/>
          <w:sz w:val="32"/>
          <w:szCs w:val="32"/>
        </w:rPr>
        <w:t>5、负责拟订全县事业单位管理体制和机构改革总体方案并组织实施，管理全县事业单位事业编制总量；组织制定全县事业单位机构编制管理办法；负责事业单位管理体制和机构改革以及机构编制管理工作。</w:t>
      </w:r>
    </w:p>
    <w:p>
      <w:pPr>
        <w:rPr>
          <w:rFonts w:ascii="仿宋" w:hAnsi="仿宋" w:eastAsia="仿宋" w:cs="仿宋"/>
          <w:color w:val="000000"/>
          <w:sz w:val="32"/>
          <w:szCs w:val="32"/>
        </w:rPr>
      </w:pPr>
      <w:r>
        <w:rPr>
          <w:rFonts w:hint="eastAsia" w:ascii="仿宋" w:hAnsi="仿宋" w:eastAsia="仿宋" w:cs="仿宋"/>
          <w:color w:val="000000"/>
          <w:sz w:val="32"/>
          <w:szCs w:val="32"/>
        </w:rPr>
        <w:t>6、监督检查全县行政管理体制和机构改革方案、事业单位管理体制和机构改革方案、县直机关“三定”规定和事业单位机构编制方案以及机构编制政策法规的执行情况。</w:t>
      </w:r>
    </w:p>
    <w:p>
      <w:pPr>
        <w:rPr>
          <w:rFonts w:ascii="仿宋" w:hAnsi="仿宋" w:eastAsia="仿宋" w:cs="仿宋"/>
          <w:sz w:val="32"/>
          <w:szCs w:val="32"/>
        </w:rPr>
      </w:pPr>
      <w:r>
        <w:rPr>
          <w:rFonts w:hint="eastAsia" w:ascii="仿宋" w:hAnsi="仿宋" w:eastAsia="仿宋" w:cs="仿宋"/>
          <w:color w:val="000000"/>
          <w:sz w:val="32"/>
          <w:szCs w:val="32"/>
        </w:rPr>
        <w:t>7、负责全县机构编制实名制管理工作；承担编制卡管理职责。</w:t>
      </w:r>
    </w:p>
    <w:p>
      <w:pPr>
        <w:rPr>
          <w:rFonts w:ascii="仿宋" w:hAnsi="仿宋" w:eastAsia="仿宋" w:cs="仿宋"/>
          <w:color w:val="000000"/>
          <w:sz w:val="32"/>
          <w:szCs w:val="32"/>
        </w:rPr>
      </w:pPr>
      <w:r>
        <w:rPr>
          <w:rFonts w:hint="eastAsia" w:ascii="仿宋" w:hAnsi="仿宋" w:eastAsia="仿宋" w:cs="仿宋"/>
          <w:color w:val="000000"/>
          <w:sz w:val="32"/>
          <w:szCs w:val="32"/>
        </w:rPr>
        <w:t>8、负责指导、监督全县事业单位登记管理工作。</w:t>
      </w:r>
    </w:p>
    <w:p>
      <w:pPr>
        <w:jc w:val="left"/>
        <w:rPr>
          <w:rFonts w:ascii="仿宋" w:hAnsi="仿宋" w:eastAsia="仿宋" w:cs="仿宋"/>
          <w:color w:val="000000"/>
          <w:sz w:val="32"/>
          <w:szCs w:val="32"/>
        </w:rPr>
      </w:pPr>
      <w:r>
        <w:rPr>
          <w:rFonts w:hint="eastAsia" w:ascii="仿宋" w:hAnsi="仿宋" w:eastAsia="仿宋" w:cs="仿宋"/>
          <w:color w:val="000000"/>
          <w:sz w:val="32"/>
          <w:szCs w:val="32"/>
        </w:rPr>
        <w:t>9、负责审核县级议事协调机构和临时机构的设立、调整工作。</w:t>
      </w:r>
    </w:p>
    <w:p>
      <w:pPr>
        <w:jc w:val="left"/>
        <w:rPr>
          <w:rFonts w:ascii="仿宋" w:hAnsi="仿宋" w:eastAsia="仿宋" w:cs="仿宋"/>
          <w:color w:val="000000"/>
          <w:sz w:val="32"/>
          <w:szCs w:val="32"/>
        </w:rPr>
      </w:pPr>
      <w:r>
        <w:rPr>
          <w:rFonts w:hint="eastAsia" w:ascii="仿宋" w:hAnsi="仿宋" w:eastAsia="仿宋" w:cs="仿宋"/>
          <w:color w:val="000000"/>
          <w:sz w:val="32"/>
          <w:szCs w:val="32"/>
        </w:rPr>
        <w:t>10、承办县委、县政府、县机构编制委员会和上级业务主管部门交办的其他事项。</w:t>
      </w:r>
    </w:p>
    <w:p>
      <w:pPr>
        <w:numPr>
          <w:ilvl w:val="0"/>
          <w:numId w:val="0"/>
        </w:numPr>
        <w:jc w:val="both"/>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二、机构设置</w:t>
      </w:r>
    </w:p>
    <w:p>
      <w:pPr>
        <w:jc w:val="left"/>
        <w:rPr>
          <w:rFonts w:ascii="仿宋" w:hAnsi="仿宋" w:eastAsia="仿宋"/>
          <w:color w:val="000000"/>
          <w:sz w:val="32"/>
        </w:rPr>
      </w:pPr>
      <w:r>
        <w:rPr>
          <w:rFonts w:hint="eastAsia" w:ascii="仿宋" w:hAnsi="仿宋" w:eastAsia="仿宋"/>
          <w:color w:val="000000"/>
          <w:sz w:val="32"/>
        </w:rPr>
        <w:t xml:space="preserve">（一）部门机构设置、主要职能 </w:t>
      </w:r>
    </w:p>
    <w:p>
      <w:pPr>
        <w:jc w:val="left"/>
        <w:rPr>
          <w:rFonts w:ascii="仿宋" w:hAnsi="仿宋" w:eastAsia="仿宋"/>
          <w:color w:val="000000"/>
          <w:sz w:val="32"/>
        </w:rPr>
      </w:pPr>
      <w:r>
        <w:rPr>
          <w:rFonts w:hint="eastAsia" w:ascii="仿宋" w:hAnsi="仿宋" w:eastAsia="仿宋"/>
          <w:color w:val="000000"/>
          <w:sz w:val="32"/>
        </w:rPr>
        <w:t>201</w:t>
      </w:r>
      <w:r>
        <w:rPr>
          <w:rFonts w:hint="eastAsia" w:ascii="仿宋" w:hAnsi="仿宋" w:eastAsia="仿宋"/>
          <w:color w:val="000000"/>
          <w:sz w:val="32"/>
          <w:lang w:val="en-US" w:eastAsia="zh-CN"/>
        </w:rPr>
        <w:t>6</w:t>
      </w:r>
      <w:r>
        <w:rPr>
          <w:rFonts w:hint="eastAsia" w:ascii="仿宋" w:hAnsi="仿宋" w:eastAsia="仿宋"/>
          <w:color w:val="000000"/>
          <w:sz w:val="32"/>
        </w:rPr>
        <w:t xml:space="preserve">年预算组成机构3个：县机构编制委员会办公室、县事业单位登记管理局、县机构编制电子政务中心。 </w:t>
      </w:r>
    </w:p>
    <w:p>
      <w:pPr>
        <w:jc w:val="left"/>
        <w:rPr>
          <w:rFonts w:ascii="仿宋" w:hAnsi="仿宋" w:eastAsia="仿宋"/>
          <w:color w:val="000000"/>
          <w:sz w:val="32"/>
        </w:rPr>
      </w:pPr>
      <w:r>
        <w:rPr>
          <w:rFonts w:hint="eastAsia" w:ascii="仿宋" w:hAnsi="仿宋" w:eastAsia="仿宋"/>
          <w:color w:val="000000"/>
          <w:sz w:val="32"/>
        </w:rPr>
        <w:t xml:space="preserve">其中县编办内设3个股室：综合股、行政机构编制股、事业机构编制股。 </w:t>
      </w:r>
    </w:p>
    <w:p>
      <w:pPr>
        <w:jc w:val="left"/>
        <w:rPr>
          <w:rFonts w:ascii="仿宋" w:hAnsi="仿宋" w:eastAsia="仿宋"/>
          <w:color w:val="000000"/>
          <w:sz w:val="32"/>
        </w:rPr>
      </w:pPr>
      <w:r>
        <w:rPr>
          <w:rFonts w:hint="eastAsia" w:ascii="仿宋" w:hAnsi="仿宋" w:eastAsia="仿宋"/>
          <w:color w:val="000000"/>
          <w:sz w:val="32"/>
        </w:rPr>
        <w:t xml:space="preserve">（二）人员构成情况 </w:t>
      </w:r>
    </w:p>
    <w:p>
      <w:pPr>
        <w:ind w:firstLine="645"/>
        <w:rPr>
          <w:rFonts w:hint="eastAsia" w:ascii="仿宋" w:hAnsi="仿宋" w:eastAsia="仿宋" w:cs="仿宋"/>
          <w:color w:val="000000"/>
          <w:sz w:val="32"/>
          <w:szCs w:val="32"/>
        </w:rPr>
      </w:pPr>
      <w:r>
        <w:rPr>
          <w:rFonts w:hint="eastAsia" w:ascii="仿宋" w:hAnsi="仿宋" w:eastAsia="仿宋" w:cs="仿宋"/>
          <w:color w:val="000000"/>
          <w:sz w:val="32"/>
          <w:szCs w:val="32"/>
        </w:rPr>
        <w:t>县机构编制委员会办公室现有机关行政编制</w:t>
      </w:r>
      <w:r>
        <w:rPr>
          <w:rFonts w:hint="eastAsia" w:ascii="仿宋" w:hAnsi="仿宋" w:eastAsia="仿宋" w:cs="仿宋"/>
          <w:color w:val="000000"/>
          <w:sz w:val="32"/>
          <w:szCs w:val="32"/>
          <w:lang w:val="en-US" w:eastAsia="zh-CN"/>
        </w:rPr>
        <w:t>8</w:t>
      </w:r>
      <w:r>
        <w:rPr>
          <w:rFonts w:hint="eastAsia" w:ascii="仿宋" w:hAnsi="仿宋" w:eastAsia="仿宋" w:cs="仿宋"/>
          <w:color w:val="000000"/>
          <w:sz w:val="32"/>
          <w:szCs w:val="32"/>
        </w:rPr>
        <w:t>名、行政执法专项编制0名，</w:t>
      </w:r>
      <w:r>
        <w:rPr>
          <w:rFonts w:hint="eastAsia" w:ascii="仿宋" w:hAnsi="仿宋" w:eastAsia="仿宋"/>
          <w:color w:val="000000"/>
          <w:sz w:val="32"/>
        </w:rPr>
        <w:t>退休人员3名，核拨事业编制</w:t>
      </w:r>
      <w:r>
        <w:rPr>
          <w:rFonts w:hint="eastAsia" w:ascii="仿宋" w:hAnsi="仿宋" w:eastAsia="仿宋"/>
          <w:color w:val="000000"/>
          <w:sz w:val="32"/>
          <w:lang w:val="en-US" w:eastAsia="zh-CN"/>
        </w:rPr>
        <w:t>0</w:t>
      </w:r>
      <w:r>
        <w:rPr>
          <w:rFonts w:hint="eastAsia" w:ascii="仿宋" w:hAnsi="仿宋" w:eastAsia="仿宋"/>
          <w:color w:val="000000"/>
          <w:sz w:val="32"/>
        </w:rPr>
        <w:t>名，</w:t>
      </w:r>
      <w:r>
        <w:rPr>
          <w:rFonts w:hint="eastAsia" w:ascii="仿宋" w:hAnsi="仿宋" w:eastAsia="仿宋" w:cs="仿宋"/>
          <w:color w:val="000000"/>
          <w:sz w:val="32"/>
          <w:szCs w:val="32"/>
        </w:rPr>
        <w:t>后勤服务人员数1名。</w:t>
      </w:r>
    </w:p>
    <w:p>
      <w:pPr>
        <w:ind w:firstLine="645"/>
        <w:rPr>
          <w:rFonts w:hint="eastAsia" w:ascii="仿宋" w:hAnsi="仿宋" w:eastAsia="仿宋" w:cs="仿宋"/>
          <w:color w:val="000000"/>
          <w:sz w:val="32"/>
          <w:szCs w:val="32"/>
        </w:rPr>
      </w:pPr>
    </w:p>
    <w:p>
      <w:pPr>
        <w:jc w:val="center"/>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第二部分  2016年部门预算表</w:t>
      </w:r>
    </w:p>
    <w:p>
      <w:pPr>
        <w:jc w:val="both"/>
      </w:pPr>
      <w:r>
        <w:drawing>
          <wp:inline distT="0" distB="0" distL="114300" distR="114300">
            <wp:extent cx="5273675" cy="5346700"/>
            <wp:effectExtent l="0" t="0" r="3175" b="635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tretch>
                      <a:fillRect/>
                    </a:stretch>
                  </pic:blipFill>
                  <pic:spPr>
                    <a:xfrm>
                      <a:off x="0" y="0"/>
                      <a:ext cx="5273675" cy="5346700"/>
                    </a:xfrm>
                    <a:prstGeom prst="rect">
                      <a:avLst/>
                    </a:prstGeom>
                    <a:noFill/>
                    <a:ln w="9525">
                      <a:noFill/>
                    </a:ln>
                  </pic:spPr>
                </pic:pic>
              </a:graphicData>
            </a:graphic>
          </wp:inline>
        </w:drawing>
      </w: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r>
        <w:drawing>
          <wp:inline distT="0" distB="0" distL="114300" distR="114300">
            <wp:extent cx="5271770" cy="7745095"/>
            <wp:effectExtent l="0" t="0" r="5080" b="825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5"/>
                    <a:stretch>
                      <a:fillRect/>
                    </a:stretch>
                  </pic:blipFill>
                  <pic:spPr>
                    <a:xfrm>
                      <a:off x="0" y="0"/>
                      <a:ext cx="5271770" cy="7745095"/>
                    </a:xfrm>
                    <a:prstGeom prst="rect">
                      <a:avLst/>
                    </a:prstGeom>
                    <a:noFill/>
                    <a:ln w="9525">
                      <a:noFill/>
                    </a:ln>
                  </pic:spPr>
                </pic:pic>
              </a:graphicData>
            </a:graphic>
          </wp:inline>
        </w:drawing>
      </w:r>
    </w:p>
    <w:p>
      <w:pPr>
        <w:jc w:val="both"/>
      </w:pPr>
    </w:p>
    <w:p>
      <w:pPr>
        <w:jc w:val="both"/>
      </w:pPr>
    </w:p>
    <w:p>
      <w:pPr>
        <w:jc w:val="both"/>
      </w:pPr>
    </w:p>
    <w:p>
      <w:pPr>
        <w:jc w:val="both"/>
      </w:pPr>
      <w:r>
        <w:drawing>
          <wp:inline distT="0" distB="0" distL="114300" distR="114300">
            <wp:extent cx="5271770" cy="7393940"/>
            <wp:effectExtent l="0" t="0" r="5080" b="1651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6"/>
                    <a:stretch>
                      <a:fillRect/>
                    </a:stretch>
                  </pic:blipFill>
                  <pic:spPr>
                    <a:xfrm>
                      <a:off x="0" y="0"/>
                      <a:ext cx="5271770" cy="7393940"/>
                    </a:xfrm>
                    <a:prstGeom prst="rect">
                      <a:avLst/>
                    </a:prstGeom>
                    <a:noFill/>
                    <a:ln w="9525">
                      <a:noFill/>
                    </a:ln>
                  </pic:spPr>
                </pic:pic>
              </a:graphicData>
            </a:graphic>
          </wp:inline>
        </w:drawing>
      </w:r>
    </w:p>
    <w:p>
      <w:pPr>
        <w:jc w:val="both"/>
      </w:pPr>
    </w:p>
    <w:p>
      <w:pPr>
        <w:jc w:val="both"/>
      </w:pPr>
    </w:p>
    <w:p>
      <w:pPr>
        <w:jc w:val="both"/>
      </w:pPr>
    </w:p>
    <w:p>
      <w:pPr>
        <w:jc w:val="both"/>
      </w:pPr>
    </w:p>
    <w:p>
      <w:pPr>
        <w:jc w:val="both"/>
      </w:pPr>
    </w:p>
    <w:p>
      <w:pPr>
        <w:jc w:val="both"/>
      </w:pPr>
    </w:p>
    <w:p>
      <w:pPr>
        <w:jc w:val="both"/>
      </w:pPr>
    </w:p>
    <w:p>
      <w:pPr>
        <w:jc w:val="both"/>
      </w:pPr>
      <w:r>
        <w:drawing>
          <wp:inline distT="0" distB="0" distL="114300" distR="114300">
            <wp:extent cx="5272405" cy="3330575"/>
            <wp:effectExtent l="0" t="0" r="4445" b="3175"/>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7"/>
                    <a:stretch>
                      <a:fillRect/>
                    </a:stretch>
                  </pic:blipFill>
                  <pic:spPr>
                    <a:xfrm>
                      <a:off x="0" y="0"/>
                      <a:ext cx="5272405" cy="3330575"/>
                    </a:xfrm>
                    <a:prstGeom prst="rect">
                      <a:avLst/>
                    </a:prstGeom>
                    <a:noFill/>
                    <a:ln w="9525">
                      <a:noFill/>
                    </a:ln>
                  </pic:spPr>
                </pic:pic>
              </a:graphicData>
            </a:graphic>
          </wp:inline>
        </w:drawing>
      </w:r>
    </w:p>
    <w:p>
      <w:pPr>
        <w:jc w:val="both"/>
      </w:pPr>
    </w:p>
    <w:p>
      <w:pPr>
        <w:jc w:val="both"/>
      </w:pPr>
      <w:r>
        <w:drawing>
          <wp:inline distT="0" distB="0" distL="114300" distR="114300">
            <wp:extent cx="5271135" cy="4878705"/>
            <wp:effectExtent l="0" t="0" r="5715" b="17145"/>
            <wp:docPr id="7"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1"/>
                    <pic:cNvPicPr>
                      <a:picLocks noChangeAspect="1"/>
                    </pic:cNvPicPr>
                  </pic:nvPicPr>
                  <pic:blipFill>
                    <a:blip r:embed="rId8"/>
                    <a:stretch>
                      <a:fillRect/>
                    </a:stretch>
                  </pic:blipFill>
                  <pic:spPr>
                    <a:xfrm>
                      <a:off x="0" y="0"/>
                      <a:ext cx="5271135" cy="4878705"/>
                    </a:xfrm>
                    <a:prstGeom prst="rect">
                      <a:avLst/>
                    </a:prstGeom>
                    <a:noFill/>
                    <a:ln w="9525">
                      <a:noFill/>
                    </a:ln>
                  </pic:spPr>
                </pic:pic>
              </a:graphicData>
            </a:graphic>
          </wp:inline>
        </w:drawing>
      </w:r>
    </w:p>
    <w:p>
      <w:pPr>
        <w:jc w:val="both"/>
      </w:pPr>
    </w:p>
    <w:p>
      <w:pPr>
        <w:jc w:val="both"/>
      </w:pPr>
    </w:p>
    <w:p>
      <w:pPr>
        <w:jc w:val="both"/>
      </w:pPr>
      <w:r>
        <w:drawing>
          <wp:inline distT="0" distB="0" distL="114300" distR="114300">
            <wp:extent cx="5271770" cy="7162165"/>
            <wp:effectExtent l="0" t="0" r="5080" b="635"/>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9"/>
                    <a:stretch>
                      <a:fillRect/>
                    </a:stretch>
                  </pic:blipFill>
                  <pic:spPr>
                    <a:xfrm>
                      <a:off x="0" y="0"/>
                      <a:ext cx="5271770" cy="7162165"/>
                    </a:xfrm>
                    <a:prstGeom prst="rect">
                      <a:avLst/>
                    </a:prstGeom>
                    <a:noFill/>
                    <a:ln w="9525">
                      <a:noFill/>
                    </a:ln>
                  </pic:spPr>
                </pic:pic>
              </a:graphicData>
            </a:graphic>
          </wp:inline>
        </w:drawing>
      </w:r>
    </w:p>
    <w:p>
      <w:pPr>
        <w:jc w:val="both"/>
      </w:pPr>
    </w:p>
    <w:p>
      <w:pPr>
        <w:jc w:val="both"/>
      </w:pPr>
    </w:p>
    <w:p>
      <w:pPr>
        <w:jc w:val="both"/>
      </w:pPr>
    </w:p>
    <w:p>
      <w:pPr>
        <w:jc w:val="both"/>
      </w:pPr>
    </w:p>
    <w:p>
      <w:pPr>
        <w:jc w:val="both"/>
      </w:pPr>
    </w:p>
    <w:p>
      <w:pPr>
        <w:jc w:val="both"/>
      </w:pPr>
      <w:r>
        <w:drawing>
          <wp:inline distT="0" distB="0" distL="114300" distR="114300">
            <wp:extent cx="5274310" cy="9666605"/>
            <wp:effectExtent l="0" t="0" r="2540" b="10795"/>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0"/>
                    <a:stretch>
                      <a:fillRect/>
                    </a:stretch>
                  </pic:blipFill>
                  <pic:spPr>
                    <a:xfrm>
                      <a:off x="0" y="0"/>
                      <a:ext cx="5274310" cy="9666605"/>
                    </a:xfrm>
                    <a:prstGeom prst="rect">
                      <a:avLst/>
                    </a:prstGeom>
                    <a:noFill/>
                    <a:ln w="9525">
                      <a:noFill/>
                    </a:ln>
                  </pic:spPr>
                </pic:pic>
              </a:graphicData>
            </a:graphic>
          </wp:inline>
        </w:drawing>
      </w:r>
    </w:p>
    <w:p>
      <w:pPr>
        <w:jc w:val="both"/>
      </w:pPr>
    </w:p>
    <w:p>
      <w:pPr>
        <w:jc w:val="both"/>
      </w:pPr>
    </w:p>
    <w:p>
      <w:pPr>
        <w:jc w:val="both"/>
      </w:pPr>
    </w:p>
    <w:p>
      <w:pPr>
        <w:jc w:val="both"/>
      </w:pPr>
    </w:p>
    <w:p>
      <w:pPr>
        <w:jc w:val="both"/>
      </w:pPr>
      <w:r>
        <w:drawing>
          <wp:inline distT="0" distB="0" distL="114300" distR="114300">
            <wp:extent cx="5269865" cy="4411980"/>
            <wp:effectExtent l="0" t="0" r="6985" b="762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1"/>
                    <a:stretch>
                      <a:fillRect/>
                    </a:stretch>
                  </pic:blipFill>
                  <pic:spPr>
                    <a:xfrm>
                      <a:off x="0" y="0"/>
                      <a:ext cx="5269865" cy="4411980"/>
                    </a:xfrm>
                    <a:prstGeom prst="rect">
                      <a:avLst/>
                    </a:prstGeom>
                    <a:noFill/>
                    <a:ln w="9525">
                      <a:noFill/>
                    </a:ln>
                  </pic:spPr>
                </pic:pic>
              </a:graphicData>
            </a:graphic>
          </wp:inline>
        </w:drawing>
      </w:r>
    </w:p>
    <w:p>
      <w:pPr>
        <w:jc w:val="both"/>
      </w:pPr>
    </w:p>
    <w:p>
      <w:pPr>
        <w:jc w:val="both"/>
      </w:pPr>
      <w:r>
        <w:drawing>
          <wp:inline distT="0" distB="0" distL="114300" distR="114300">
            <wp:extent cx="5095240" cy="3114040"/>
            <wp:effectExtent l="0" t="0" r="10160" b="1016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2"/>
                    <a:stretch>
                      <a:fillRect/>
                    </a:stretch>
                  </pic:blipFill>
                  <pic:spPr>
                    <a:xfrm>
                      <a:off x="0" y="0"/>
                      <a:ext cx="5095240" cy="3114040"/>
                    </a:xfrm>
                    <a:prstGeom prst="rect">
                      <a:avLst/>
                    </a:prstGeom>
                    <a:noFill/>
                    <a:ln w="9525">
                      <a:noFill/>
                    </a:ln>
                  </pic:spPr>
                </pic:pic>
              </a:graphicData>
            </a:graphic>
          </wp:inline>
        </w:drawing>
      </w:r>
    </w:p>
    <w:p>
      <w:pPr>
        <w:jc w:val="both"/>
      </w:pPr>
    </w:p>
    <w:p>
      <w:pPr>
        <w:jc w:val="both"/>
      </w:pPr>
    </w:p>
    <w:p>
      <w:pPr>
        <w:jc w:val="both"/>
      </w:pPr>
    </w:p>
    <w:p>
      <w:pPr>
        <w:jc w:val="both"/>
      </w:pPr>
      <w:r>
        <w:drawing>
          <wp:inline distT="0" distB="0" distL="114300" distR="114300">
            <wp:extent cx="5270500" cy="2161540"/>
            <wp:effectExtent l="0" t="0" r="6350" b="1016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3"/>
                    <a:stretch>
                      <a:fillRect/>
                    </a:stretch>
                  </pic:blipFill>
                  <pic:spPr>
                    <a:xfrm>
                      <a:off x="0" y="0"/>
                      <a:ext cx="5270500" cy="2161540"/>
                    </a:xfrm>
                    <a:prstGeom prst="rect">
                      <a:avLst/>
                    </a:prstGeom>
                    <a:noFill/>
                    <a:ln w="9525">
                      <a:noFill/>
                    </a:ln>
                  </pic:spPr>
                </pic:pic>
              </a:graphicData>
            </a:graphic>
          </wp:inline>
        </w:drawing>
      </w:r>
    </w:p>
    <w:p>
      <w:pPr>
        <w:jc w:val="both"/>
      </w:pPr>
    </w:p>
    <w:p>
      <w:pPr>
        <w:jc w:val="both"/>
      </w:pPr>
      <w:r>
        <w:drawing>
          <wp:inline distT="0" distB="0" distL="114300" distR="114300">
            <wp:extent cx="5267960" cy="2776855"/>
            <wp:effectExtent l="0" t="0" r="8890" b="4445"/>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4"/>
                    <a:stretch>
                      <a:fillRect/>
                    </a:stretch>
                  </pic:blipFill>
                  <pic:spPr>
                    <a:xfrm>
                      <a:off x="0" y="0"/>
                      <a:ext cx="5267960" cy="2776855"/>
                    </a:xfrm>
                    <a:prstGeom prst="rect">
                      <a:avLst/>
                    </a:prstGeom>
                    <a:noFill/>
                    <a:ln w="9525">
                      <a:noFill/>
                    </a:ln>
                  </pic:spPr>
                </pic:pic>
              </a:graphicData>
            </a:graphic>
          </wp:inline>
        </w:drawing>
      </w: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第三部分  2016年部门预算情况说明</w:t>
      </w:r>
    </w:p>
    <w:p>
      <w:pPr>
        <w:numPr>
          <w:ilvl w:val="0"/>
          <w:numId w:val="3"/>
        </w:numPr>
        <w:ind w:firstLine="640" w:firstLineChars="200"/>
        <w:jc w:val="both"/>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部门预算收支增减变化情况</w:t>
      </w:r>
    </w:p>
    <w:p>
      <w:pPr>
        <w:numPr>
          <w:ilvl w:val="0"/>
          <w:numId w:val="0"/>
        </w:numPr>
        <w:ind w:firstLine="640"/>
        <w:jc w:val="both"/>
        <w:rPr>
          <w:rFonts w:hint="eastAsia" w:ascii="黑体" w:hAnsi="黑体" w:eastAsia="黑体" w:cs="黑体"/>
          <w:sz w:val="32"/>
          <w:szCs w:val="32"/>
          <w:lang w:val="en-US" w:eastAsia="zh-CN"/>
        </w:rPr>
      </w:pPr>
      <w:r>
        <w:rPr>
          <w:rFonts w:hint="eastAsia" w:ascii="仿宋_GB2312" w:hAnsi="仿宋_GB2312" w:eastAsia="仿宋_GB2312" w:cs="仿宋_GB2312"/>
          <w:sz w:val="32"/>
          <w:szCs w:val="32"/>
          <w:lang w:val="en-US" w:eastAsia="zh-CN"/>
        </w:rPr>
        <w:t>2016年本部门收入预算116.2273万元，比上年增加32.24万元，增长38%；支出预算116.2273万元，比上年增加32.24万元，增长38%，</w:t>
      </w:r>
      <w:r>
        <w:rPr>
          <w:rFonts w:hint="eastAsia" w:ascii="仿宋" w:hAnsi="仿宋" w:eastAsia="仿宋"/>
          <w:color w:val="000000"/>
          <w:sz w:val="32"/>
        </w:rPr>
        <w:t>增加的原因：人员</w:t>
      </w:r>
      <w:r>
        <w:rPr>
          <w:rFonts w:hint="eastAsia" w:ascii="仿宋" w:hAnsi="仿宋" w:eastAsia="仿宋"/>
          <w:color w:val="000000"/>
          <w:sz w:val="32"/>
          <w:lang w:eastAsia="zh-CN"/>
        </w:rPr>
        <w:t>工资，补贴调整</w:t>
      </w:r>
      <w:r>
        <w:rPr>
          <w:rFonts w:hint="eastAsia" w:ascii="仿宋" w:hAnsi="仿宋" w:eastAsia="仿宋"/>
          <w:color w:val="000000"/>
          <w:sz w:val="32"/>
        </w:rPr>
        <w:t>相应增加</w:t>
      </w:r>
      <w:r>
        <w:rPr>
          <w:rFonts w:hint="eastAsia" w:ascii="仿宋" w:hAnsi="仿宋" w:eastAsia="仿宋"/>
          <w:color w:val="000000"/>
          <w:sz w:val="32"/>
          <w:lang w:eastAsia="zh-CN"/>
        </w:rPr>
        <w:t>。</w:t>
      </w:r>
    </w:p>
    <w:p>
      <w:pPr>
        <w:numPr>
          <w:ilvl w:val="0"/>
          <w:numId w:val="3"/>
        </w:numPr>
        <w:ind w:firstLine="640" w:firstLineChars="200"/>
        <w:jc w:val="both"/>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“三公”经费安排情况说明</w:t>
      </w:r>
    </w:p>
    <w:p>
      <w:pPr>
        <w:numPr>
          <w:ilvl w:val="0"/>
          <w:numId w:val="0"/>
        </w:numPr>
        <w:ind w:firstLine="64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2016年本部门“三公”经费预算安排6.72万元，比上年减少0.02万元，下降0.3%，其中：因公出国（境）费0万元，同上年；公务用车购置及运行费2.76万元，比上年减少0.01万元，下降0.36%；公务接待费3.96万元，比上年减少0.01万元，下降0.25%，</w:t>
      </w:r>
      <w:r>
        <w:rPr>
          <w:rFonts w:hint="eastAsia" w:ascii="仿宋" w:hAnsi="仿宋" w:eastAsia="仿宋" w:cs="仿宋"/>
          <w:sz w:val="32"/>
          <w:szCs w:val="32"/>
        </w:rPr>
        <w:t>主要原因是贯彻落实机关公务用车制度改革精神，减少公务交通补贴保障区域内的行驶</w:t>
      </w:r>
      <w:r>
        <w:rPr>
          <w:rFonts w:hint="eastAsia" w:ascii="仿宋_GB2312" w:hAnsi="仿宋_GB2312" w:eastAsia="仿宋_GB2312" w:cs="仿宋_GB2312"/>
          <w:sz w:val="32"/>
          <w:szCs w:val="32"/>
          <w:lang w:val="en-US" w:eastAsia="zh-CN"/>
        </w:rPr>
        <w:t>。</w:t>
      </w:r>
    </w:p>
    <w:p>
      <w:pPr>
        <w:numPr>
          <w:ilvl w:val="0"/>
          <w:numId w:val="3"/>
        </w:numPr>
        <w:ind w:firstLine="640" w:firstLineChars="200"/>
        <w:jc w:val="both"/>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机关运行经费安排情况</w:t>
      </w:r>
    </w:p>
    <w:p>
      <w:pPr>
        <w:numPr>
          <w:ilvl w:val="0"/>
          <w:numId w:val="0"/>
        </w:numPr>
        <w:jc w:val="left"/>
        <w:rPr>
          <w:rFonts w:ascii="仿宋" w:hAnsi="仿宋" w:eastAsia="仿宋" w:cs="仿宋"/>
          <w:sz w:val="32"/>
          <w:szCs w:val="32"/>
        </w:rPr>
      </w:pPr>
      <w:r>
        <w:rPr>
          <w:rFonts w:hint="eastAsia" w:ascii="仿宋_GB2312" w:hAnsi="仿宋_GB2312" w:eastAsia="仿宋_GB2312" w:cs="仿宋_GB2312"/>
          <w:sz w:val="32"/>
          <w:szCs w:val="32"/>
          <w:lang w:val="en-US" w:eastAsia="zh-CN"/>
        </w:rPr>
        <w:t xml:space="preserve"> 2016年，本部门机关运行经费安排19.74万元，比上年增加1.0044万元，增长6%，主要原因是物价上涨。</w:t>
      </w:r>
    </w:p>
    <w:p>
      <w:pPr>
        <w:numPr>
          <w:ilvl w:val="0"/>
          <w:numId w:val="3"/>
        </w:numPr>
        <w:ind w:firstLine="640" w:firstLineChars="200"/>
        <w:jc w:val="both"/>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政府采购情况</w:t>
      </w:r>
    </w:p>
    <w:p>
      <w:pPr>
        <w:widowControl w:val="0"/>
        <w:numPr>
          <w:ilvl w:val="0"/>
          <w:numId w:val="0"/>
        </w:numPr>
        <w:ind w:firstLine="64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2016年本部门无政府采购安排。</w:t>
      </w:r>
    </w:p>
    <w:p>
      <w:pPr>
        <w:numPr>
          <w:ilvl w:val="0"/>
          <w:numId w:val="3"/>
        </w:numPr>
        <w:ind w:firstLine="640" w:firstLineChars="200"/>
        <w:rPr>
          <w:rFonts w:hint="eastAsia" w:ascii="黑体" w:hAnsi="黑体" w:eastAsia="黑体" w:cs="黑体"/>
          <w:sz w:val="32"/>
          <w:szCs w:val="32"/>
          <w:lang w:eastAsia="zh-CN"/>
        </w:rPr>
      </w:pPr>
      <w:r>
        <w:rPr>
          <w:rFonts w:hint="eastAsia" w:ascii="黑体" w:hAnsi="黑体" w:eastAsia="黑体" w:cs="黑体"/>
          <w:sz w:val="32"/>
          <w:szCs w:val="32"/>
          <w:lang w:eastAsia="zh-CN"/>
        </w:rPr>
        <w:t>国有资产占有使用情况</w:t>
      </w:r>
    </w:p>
    <w:p>
      <w:pPr>
        <w:ind w:firstLine="64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截止到</w:t>
      </w:r>
      <w:r>
        <w:rPr>
          <w:rFonts w:hint="eastAsia" w:ascii="仿宋_GB2312" w:hAnsi="仿宋_GB2312" w:eastAsia="仿宋_GB2312" w:cs="仿宋_GB2312"/>
          <w:sz w:val="32"/>
          <w:szCs w:val="32"/>
          <w:lang w:val="en-US" w:eastAsia="zh-CN"/>
        </w:rPr>
        <w:t>2015年12月31日，本部门占有固定资产额为：33.72万元，其中一般公务用车1辆：18.79万元，通用设备10.23万元，专用设备3.33万元，其它：1.37万元。</w:t>
      </w:r>
    </w:p>
    <w:p>
      <w:pPr>
        <w:numPr>
          <w:ilvl w:val="0"/>
          <w:numId w:val="3"/>
        </w:numPr>
        <w:ind w:firstLine="640" w:firstLineChars="200"/>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预算绩效信息公开情况</w:t>
      </w:r>
      <w:bookmarkStart w:id="0" w:name="_GoBack"/>
      <w:bookmarkEnd w:id="0"/>
    </w:p>
    <w:p>
      <w:pPr>
        <w:ind w:firstLine="64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2016年，本部门无推进预算绩效工作。</w:t>
      </w:r>
    </w:p>
    <w:p>
      <w:pPr>
        <w:widowControl w:val="0"/>
        <w:numPr>
          <w:ilvl w:val="0"/>
          <w:numId w:val="0"/>
        </w:numPr>
        <w:ind w:firstLine="640"/>
        <w:jc w:val="both"/>
        <w:rPr>
          <w:rFonts w:hint="eastAsia" w:ascii="仿宋_GB2312" w:hAnsi="仿宋_GB2312" w:eastAsia="仿宋_GB2312" w:cs="仿宋_GB2312"/>
          <w:sz w:val="32"/>
          <w:szCs w:val="32"/>
          <w:lang w:val="en-US" w:eastAsia="zh-CN"/>
        </w:rPr>
      </w:pPr>
    </w:p>
    <w:p>
      <w:pPr>
        <w:widowControl w:val="0"/>
        <w:numPr>
          <w:ilvl w:val="0"/>
          <w:numId w:val="0"/>
        </w:numPr>
        <w:ind w:firstLine="640"/>
        <w:jc w:val="both"/>
        <w:rPr>
          <w:rFonts w:hint="eastAsia" w:ascii="仿宋_GB2312" w:hAnsi="仿宋_GB2312" w:eastAsia="仿宋_GB2312" w:cs="仿宋_GB2312"/>
          <w:sz w:val="32"/>
          <w:szCs w:val="32"/>
          <w:lang w:val="en-US" w:eastAsia="zh-CN"/>
        </w:rPr>
      </w:pPr>
    </w:p>
    <w:p>
      <w:pPr>
        <w:jc w:val="center"/>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第四部分  名词解释</w:t>
      </w:r>
    </w:p>
    <w:p>
      <w:pPr>
        <w:jc w:val="left"/>
        <w:rPr>
          <w:rFonts w:ascii="仿宋" w:hAnsi="仿宋" w:eastAsia="仿宋"/>
          <w:color w:val="000000"/>
          <w:sz w:val="32"/>
        </w:rPr>
      </w:pPr>
      <w:r>
        <w:rPr>
          <w:rFonts w:hint="eastAsia" w:ascii="仿宋" w:hAnsi="仿宋" w:eastAsia="仿宋"/>
          <w:color w:val="000000"/>
          <w:sz w:val="32"/>
        </w:rPr>
        <w:t xml:space="preserve">1、一般公共预算拨款收入：指市财政当年拨付的资金。 </w:t>
      </w:r>
    </w:p>
    <w:p>
      <w:pPr>
        <w:jc w:val="left"/>
        <w:rPr>
          <w:rFonts w:ascii="仿宋" w:hAnsi="仿宋" w:eastAsia="仿宋"/>
          <w:color w:val="000000"/>
          <w:sz w:val="32"/>
        </w:rPr>
      </w:pPr>
      <w:r>
        <w:rPr>
          <w:rFonts w:hint="eastAsia" w:ascii="仿宋" w:hAnsi="仿宋" w:eastAsia="仿宋"/>
          <w:color w:val="000000"/>
          <w:sz w:val="32"/>
        </w:rPr>
        <w:t>2、其他收入：指除上述</w:t>
      </w:r>
      <w:r>
        <w:rPr>
          <w:rFonts w:ascii="仿宋" w:hAnsi="仿宋" w:eastAsia="仿宋"/>
          <w:color w:val="000000"/>
          <w:sz w:val="32"/>
        </w:rPr>
        <w:t>“</w:t>
      </w:r>
      <w:r>
        <w:rPr>
          <w:rFonts w:hint="eastAsia" w:ascii="仿宋" w:hAnsi="仿宋" w:eastAsia="仿宋"/>
          <w:color w:val="000000"/>
          <w:sz w:val="32"/>
        </w:rPr>
        <w:t>财政拨款收入</w:t>
      </w:r>
      <w:r>
        <w:rPr>
          <w:rFonts w:ascii="仿宋" w:hAnsi="仿宋" w:eastAsia="仿宋"/>
          <w:color w:val="000000"/>
          <w:sz w:val="32"/>
        </w:rPr>
        <w:t>”</w:t>
      </w:r>
      <w:r>
        <w:rPr>
          <w:rFonts w:hint="eastAsia" w:ascii="仿宋" w:hAnsi="仿宋" w:eastAsia="仿宋"/>
          <w:color w:val="000000"/>
          <w:sz w:val="32"/>
        </w:rPr>
        <w:t xml:space="preserve">以外的收入。主要是上级主管部门拨付的补助经费及存款利息收入等。 </w:t>
      </w:r>
    </w:p>
    <w:p>
      <w:pPr>
        <w:jc w:val="left"/>
        <w:rPr>
          <w:rFonts w:ascii="仿宋" w:hAnsi="仿宋" w:eastAsia="仿宋"/>
          <w:color w:val="000000"/>
          <w:sz w:val="32"/>
        </w:rPr>
      </w:pPr>
      <w:r>
        <w:rPr>
          <w:rFonts w:hint="eastAsia" w:ascii="仿宋" w:hAnsi="仿宋" w:eastAsia="仿宋"/>
          <w:color w:val="000000"/>
          <w:sz w:val="32"/>
        </w:rPr>
        <w:t xml:space="preserve">3、一般公共服务（类）财政事务（款）行政运行（项）： </w:t>
      </w:r>
    </w:p>
    <w:p>
      <w:pPr>
        <w:jc w:val="left"/>
        <w:rPr>
          <w:rFonts w:ascii="仿宋" w:hAnsi="仿宋" w:eastAsia="仿宋"/>
          <w:color w:val="000000"/>
          <w:sz w:val="32"/>
        </w:rPr>
      </w:pPr>
      <w:r>
        <w:rPr>
          <w:rFonts w:hint="eastAsia" w:ascii="仿宋" w:hAnsi="仿宋" w:eastAsia="仿宋"/>
          <w:color w:val="000000"/>
          <w:sz w:val="32"/>
        </w:rPr>
        <w:t xml:space="preserve">指市财政局行政单位及参照公务员法管理的事业单位（包括财政局机关、市世界银行贷款业务办公室 、市财政局国库支付中心、市财务总监办公室、市财政局投资审核中心、市财政局票据监管中心、市政府采购管理办公室、市农村财务管理审计办公室）用于保障机构正常运行、开展日常工作的基本支出。 </w:t>
      </w:r>
    </w:p>
    <w:p>
      <w:pPr>
        <w:jc w:val="left"/>
        <w:rPr>
          <w:rFonts w:ascii="仿宋" w:hAnsi="仿宋" w:eastAsia="仿宋"/>
          <w:color w:val="000000"/>
          <w:sz w:val="32"/>
        </w:rPr>
      </w:pPr>
      <w:r>
        <w:rPr>
          <w:rFonts w:hint="eastAsia" w:ascii="仿宋" w:hAnsi="仿宋" w:eastAsia="仿宋"/>
          <w:color w:val="000000"/>
          <w:sz w:val="32"/>
        </w:rPr>
        <w:t xml:space="preserve">4、一般公共服务（类）财政事务（款）一般行政管理事务（项）：指用于政府工程项目投资审核、市直单位重点项目委托第三方绩效评价、非税收入管理系统运行维护、统发工资系统运行维护等财政项目管理工作的项目支出。 </w:t>
      </w:r>
    </w:p>
    <w:p>
      <w:pPr>
        <w:jc w:val="left"/>
        <w:rPr>
          <w:rFonts w:ascii="仿宋" w:hAnsi="仿宋" w:eastAsia="仿宋"/>
          <w:color w:val="000000"/>
          <w:sz w:val="32"/>
        </w:rPr>
      </w:pPr>
      <w:r>
        <w:rPr>
          <w:rFonts w:hint="eastAsia" w:ascii="仿宋" w:hAnsi="仿宋" w:eastAsia="仿宋"/>
          <w:color w:val="000000"/>
          <w:sz w:val="32"/>
        </w:rPr>
        <w:t xml:space="preserve">5、一般公共服务（类）财政事务（款）机关服务（项）：指市财政信息中心、市财政局机关服务中心为保障机构正常运行、开展日常工作的基本支出。 </w:t>
      </w:r>
    </w:p>
    <w:p>
      <w:pPr>
        <w:jc w:val="left"/>
        <w:rPr>
          <w:rFonts w:ascii="仿宋" w:hAnsi="仿宋" w:eastAsia="仿宋"/>
          <w:color w:val="000000"/>
          <w:sz w:val="32"/>
        </w:rPr>
      </w:pPr>
      <w:r>
        <w:rPr>
          <w:rFonts w:hint="eastAsia" w:ascii="仿宋" w:hAnsi="仿宋" w:eastAsia="仿宋"/>
          <w:color w:val="000000"/>
          <w:sz w:val="32"/>
        </w:rPr>
        <w:t>6、一般公共服务（类）财政事务（款）财政国库业务（项）：指市财政局用于财政国库集中收付业务及国库支付中心系统运行</w:t>
      </w:r>
      <w:r>
        <w:rPr>
          <w:rFonts w:ascii="仿宋" w:hAnsi="仿宋" w:eastAsia="仿宋"/>
          <w:color w:val="000000"/>
          <w:sz w:val="32"/>
        </w:rPr>
        <w:t xml:space="preserve">维护方面的项目支出。 </w:t>
      </w:r>
    </w:p>
    <w:p>
      <w:pPr>
        <w:jc w:val="left"/>
        <w:rPr>
          <w:rFonts w:ascii="仿宋" w:hAnsi="仿宋" w:eastAsia="仿宋"/>
          <w:color w:val="000000"/>
          <w:sz w:val="32"/>
        </w:rPr>
      </w:pPr>
      <w:r>
        <w:rPr>
          <w:rFonts w:ascii="仿宋" w:hAnsi="仿宋" w:eastAsia="仿宋"/>
          <w:color w:val="000000"/>
          <w:sz w:val="32"/>
        </w:rPr>
        <w:t xml:space="preserve">7、一般公共服务（类）财政事务（款）信息化建设（项）：指市财政局用于金财工程等信息化建设方面的项目支出。 </w:t>
      </w:r>
    </w:p>
    <w:p>
      <w:pPr>
        <w:jc w:val="left"/>
        <w:rPr>
          <w:rFonts w:ascii="仿宋" w:hAnsi="仿宋" w:eastAsia="仿宋"/>
          <w:color w:val="000000"/>
          <w:sz w:val="32"/>
        </w:rPr>
      </w:pPr>
      <w:r>
        <w:rPr>
          <w:rFonts w:ascii="仿宋" w:hAnsi="仿宋" w:eastAsia="仿宋"/>
          <w:color w:val="000000"/>
          <w:sz w:val="32"/>
        </w:rPr>
        <w:t xml:space="preserve">8、一般公共服务（类）财政事务（款）事业运行（项）：指市资金管理所、市注册会计师协会办公室、广东省会计函授职业技术学校梅州辅导站用于保障机构正常运行、开展日常工作的基本支出。 </w:t>
      </w:r>
    </w:p>
    <w:p>
      <w:pPr>
        <w:jc w:val="left"/>
        <w:rPr>
          <w:rFonts w:ascii="仿宋" w:hAnsi="仿宋" w:eastAsia="仿宋"/>
          <w:color w:val="000000"/>
          <w:sz w:val="32"/>
        </w:rPr>
      </w:pPr>
      <w:r>
        <w:rPr>
          <w:rFonts w:ascii="仿宋" w:hAnsi="仿宋" w:eastAsia="仿宋"/>
          <w:color w:val="000000"/>
          <w:sz w:val="32"/>
        </w:rPr>
        <w:t xml:space="preserve">9、一般公共服务（类）财政事务（款）其他财政事务支出（项）：指市财政局除上述项目外，开展其他财政事务方面专门性工作任务的项目支出。 </w:t>
      </w:r>
    </w:p>
    <w:p>
      <w:pPr>
        <w:jc w:val="left"/>
        <w:rPr>
          <w:rFonts w:ascii="仿宋" w:hAnsi="仿宋" w:eastAsia="仿宋"/>
          <w:color w:val="000000"/>
          <w:sz w:val="32"/>
        </w:rPr>
      </w:pPr>
      <w:r>
        <w:rPr>
          <w:rFonts w:ascii="仿宋" w:hAnsi="仿宋" w:eastAsia="仿宋"/>
          <w:color w:val="000000"/>
          <w:sz w:val="32"/>
        </w:rPr>
        <w:t xml:space="preserve">10、社会保障和就业（类）行政事业单位离退休（款）归口管理的行政（事业）单位离退休（项）：指离退休人员经费的支出。 </w:t>
      </w:r>
    </w:p>
    <w:p>
      <w:pPr>
        <w:jc w:val="left"/>
        <w:rPr>
          <w:rFonts w:ascii="仿宋" w:hAnsi="仿宋" w:eastAsia="仿宋"/>
          <w:color w:val="000000"/>
          <w:sz w:val="32"/>
        </w:rPr>
      </w:pPr>
      <w:r>
        <w:rPr>
          <w:rFonts w:ascii="仿宋" w:hAnsi="仿宋" w:eastAsia="仿宋"/>
          <w:color w:val="000000"/>
          <w:sz w:val="32"/>
        </w:rPr>
        <w:t xml:space="preserve">11、住房保障（类）住房改革支出（款）住房公积金（项）：指按照《住房公积金管理条例》的规定，由单位及其在职职工缴存的长期住房储金。行政单位缴存基数包括国家统一规定的公务员职务工资、级别工资、机关工人岗位工资和技术等级（职务）工资及规范后发放的工作性津贴、生活性补贴等；事业单位缴存基数包括国家统一规定的岗位工资、薪级工资及特殊岗位津贴等。 </w:t>
      </w:r>
    </w:p>
    <w:p>
      <w:pPr>
        <w:jc w:val="left"/>
        <w:rPr>
          <w:rFonts w:ascii="仿宋" w:hAnsi="仿宋" w:eastAsia="仿宋"/>
          <w:color w:val="000000"/>
          <w:sz w:val="32"/>
        </w:rPr>
      </w:pPr>
      <w:r>
        <w:rPr>
          <w:rFonts w:ascii="仿宋" w:hAnsi="仿宋" w:eastAsia="仿宋"/>
          <w:color w:val="000000"/>
          <w:sz w:val="32"/>
        </w:rPr>
        <w:t xml:space="preserve">12、基本支出：指为保障机构正常运转、完成日常工作任务而发生的人员支出和公用支出。 </w:t>
      </w:r>
    </w:p>
    <w:p>
      <w:pPr>
        <w:jc w:val="left"/>
        <w:rPr>
          <w:rFonts w:ascii="仿宋" w:hAnsi="仿宋" w:eastAsia="仿宋"/>
          <w:color w:val="000000"/>
          <w:sz w:val="32"/>
        </w:rPr>
      </w:pPr>
      <w:r>
        <w:rPr>
          <w:rFonts w:ascii="仿宋" w:hAnsi="仿宋" w:eastAsia="仿宋"/>
          <w:color w:val="000000"/>
          <w:sz w:val="32"/>
        </w:rPr>
        <w:t xml:space="preserve">13、项目支出：指在基本支出之外为完成特定行政任务和事业发展目标所发生的支出。 </w:t>
      </w:r>
    </w:p>
    <w:p>
      <w:pPr>
        <w:jc w:val="left"/>
        <w:rPr>
          <w:rFonts w:ascii="仿宋" w:hAnsi="仿宋" w:eastAsia="仿宋"/>
          <w:color w:val="000000"/>
          <w:sz w:val="32"/>
        </w:rPr>
      </w:pPr>
      <w:r>
        <w:rPr>
          <w:rFonts w:ascii="仿宋" w:hAnsi="仿宋" w:eastAsia="仿宋"/>
          <w:color w:val="000000"/>
          <w:sz w:val="32"/>
        </w:rPr>
        <w:t>14、“三公”经费：纳入财政预决算管理的“三公”经费，是指用财政拨款安排因公出国（境）费、公务用车购置及运行费</w:t>
      </w:r>
      <w:r>
        <w:rPr>
          <w:rFonts w:hint="eastAsia" w:ascii="仿宋" w:hAnsi="仿宋" w:eastAsia="仿宋"/>
          <w:color w:val="000000"/>
          <w:sz w:val="32"/>
        </w:rPr>
        <w:t xml:space="preserve">及公务接待费。其中，因公出国（境）费反映单位公务出国出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支出。 </w:t>
      </w:r>
    </w:p>
    <w:p>
      <w:pPr>
        <w:numPr>
          <w:ilvl w:val="0"/>
          <w:numId w:val="0"/>
        </w:numPr>
        <w:jc w:val="both"/>
        <w:rPr>
          <w:rFonts w:hint="eastAsia" w:ascii="仿宋_GB2312" w:hAnsi="仿宋_GB2312" w:eastAsia="仿宋_GB2312" w:cs="仿宋_GB2312"/>
          <w:sz w:val="32"/>
          <w:szCs w:val="32"/>
          <w:lang w:val="en-US" w:eastAsia="zh-CN"/>
        </w:rPr>
      </w:pPr>
      <w:r>
        <w:rPr>
          <w:rFonts w:hint="eastAsia" w:ascii="仿宋" w:hAnsi="仿宋" w:eastAsia="仿宋"/>
          <w:color w:val="000000"/>
          <w:sz w:val="32"/>
        </w:rPr>
        <w:t>15、机关运行经费：为保障机构正常运行，用于购买货物和服务的各项资金，主要包括办公费、印刷费、咨询费、水费、电费、邮电费、物业管理费、差旅费、因公出国（境）费、维修（护）费、租赁费、会议费、培训费、公务接待费、劳务费、委托业务费、公务用车运行维护费、其他交通费用、其他商品和服务支出等。</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方正小标宋简体">
    <w:altName w:val="Arial Unicode MS"/>
    <w:panose1 w:val="02010601030101010101"/>
    <w:charset w:val="86"/>
    <w:family w:val="auto"/>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Arial">
    <w:panose1 w:val="020B0604020202020204"/>
    <w:charset w:val="00"/>
    <w:family w:val="swiss"/>
    <w:pitch w:val="default"/>
    <w:sig w:usb0="E0002AFF" w:usb1="C0007843" w:usb2="00000009" w:usb3="00000000" w:csb0="400001FF" w:csb1="FFFF0000"/>
  </w:font>
  <w:font w:name="Calibri Light">
    <w:altName w:val="Times New Roman"/>
    <w:panose1 w:val="00000000000000000000"/>
    <w:charset w:val="00"/>
    <w:family w:val="roman"/>
    <w:pitch w:val="default"/>
    <w:sig w:usb0="00000000" w:usb1="00000000" w:usb2="00000000" w:usb3="00000000" w:csb0="00000000" w:csb1="0000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5F2250"/>
    <w:multiLevelType w:val="singleLevel"/>
    <w:tmpl w:val="5A5F2250"/>
    <w:lvl w:ilvl="0" w:tentative="0">
      <w:start w:val="1"/>
      <w:numFmt w:val="chineseCounting"/>
      <w:suff w:val="nothing"/>
      <w:lvlText w:val="%1、"/>
      <w:lvlJc w:val="left"/>
    </w:lvl>
  </w:abstractNum>
  <w:abstractNum w:abstractNumId="1">
    <w:nsid w:val="5A5F2384"/>
    <w:multiLevelType w:val="singleLevel"/>
    <w:tmpl w:val="5A5F2384"/>
    <w:lvl w:ilvl="0" w:tentative="0">
      <w:start w:val="1"/>
      <w:numFmt w:val="chineseCounting"/>
      <w:suff w:val="nothing"/>
      <w:lvlText w:val="%1、"/>
      <w:lvlJc w:val="left"/>
    </w:lvl>
  </w:abstractNum>
  <w:abstractNum w:abstractNumId="2">
    <w:nsid w:val="5A600927"/>
    <w:multiLevelType w:val="singleLevel"/>
    <w:tmpl w:val="5A600927"/>
    <w:lvl w:ilvl="0" w:tentative="0">
      <w:start w:val="1"/>
      <w:numFmt w:val="chineseCounting"/>
      <w:suff w:val="nothing"/>
      <w:lvlText w:val="%1、"/>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attachedTemplate r:id="rId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81D07C1"/>
    <w:rsid w:val="076A311F"/>
    <w:rsid w:val="081D07C1"/>
    <w:rsid w:val="0D762AC5"/>
    <w:rsid w:val="0F7152DB"/>
    <w:rsid w:val="1724009F"/>
    <w:rsid w:val="26854428"/>
    <w:rsid w:val="2D5F04FB"/>
    <w:rsid w:val="2F300128"/>
    <w:rsid w:val="3C7355A3"/>
    <w:rsid w:val="49712CDA"/>
    <w:rsid w:val="497300EA"/>
    <w:rsid w:val="4A0149E0"/>
    <w:rsid w:val="4C4B7A1C"/>
    <w:rsid w:val="53AC724B"/>
    <w:rsid w:val="60C23934"/>
    <w:rsid w:val="658E0CA7"/>
    <w:rsid w:val="664164B4"/>
    <w:rsid w:val="6D535020"/>
    <w:rsid w:val="731E0B92"/>
    <w:rsid w:val="767E3ED5"/>
    <w:rsid w:val="78AB5B6F"/>
    <w:rsid w:val="7F2418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11.png"/><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es_1.0.0.1\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1</Pages>
  <Words>0</Words>
  <Characters>0</Characters>
  <Lines>0</Lines>
  <Paragraphs>0</Paragraphs>
  <ScaleCrop>false</ScaleCrop>
  <LinksUpToDate>false</LinksUpToDate>
  <CharactersWithSpaces>0</CharactersWithSpaces>
  <Application>WPS Office_10.1.0.6929_F1E327BC-269C-435d-A152-05C5408002CA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2018-03-29T08:03:00Z</dcterms:created>
  <dc:creator>小捣</dc:creator>
  <cp:lastModifiedBy>Administrator</cp:lastModifiedBy>
  <cp:lastPrinted>2018-04-11T09:25:00Z</cp:lastPrinted>
  <dcterms:modified xsi:type="dcterms:W3CDTF">2018-04-18T02:48:52Z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2052-10.1.0.6929</vt:lpwstr>
  </property>
</Properties>
</file>