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b/>
          <w:bCs/>
          <w:sz w:val="84"/>
          <w:szCs w:val="84"/>
        </w:rPr>
      </w:pPr>
      <w:r>
        <w:rPr>
          <w:rFonts w:hint="eastAsia" w:ascii="方正小标宋简体" w:hAnsi="方正小标宋简体" w:eastAsia="方正小标宋简体" w:cs="方正小标宋简体"/>
          <w:b/>
          <w:bCs/>
          <w:sz w:val="84"/>
          <w:szCs w:val="84"/>
        </w:rPr>
        <w:t>2016年</w:t>
      </w:r>
    </w:p>
    <w:p>
      <w:pPr>
        <w:jc w:val="center"/>
        <w:rPr>
          <w:rFonts w:ascii="方正小标宋简体" w:hAnsi="方正小标宋简体" w:eastAsia="方正小标宋简体" w:cs="方正小标宋简体"/>
          <w:b/>
          <w:bCs/>
          <w:sz w:val="84"/>
          <w:szCs w:val="84"/>
        </w:rPr>
      </w:pPr>
      <w:r>
        <w:rPr>
          <w:rFonts w:hint="eastAsia" w:ascii="方正小标宋简体" w:hAnsi="方正小标宋简体" w:eastAsia="方正小标宋简体" w:cs="方正小标宋简体"/>
          <w:b/>
          <w:bCs/>
          <w:sz w:val="84"/>
          <w:szCs w:val="84"/>
        </w:rPr>
        <w:t>蕉岭县广福镇中心小学部门预算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目 录</w:t>
      </w: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蕉岭县广福镇中心小学部门概况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蕉岭县广福镇中心小学部门预算表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hint="eastAsia" w:ascii="黑体" w:hAnsi="黑体" w:eastAsia="黑体" w:cs="黑体"/>
          <w:b/>
          <w:bCs/>
          <w:sz w:val="44"/>
          <w:szCs w:val="44"/>
        </w:rPr>
      </w:pPr>
      <w:r>
        <w:rPr>
          <w:rFonts w:hint="eastAsia" w:ascii="黑体" w:hAnsi="黑体" w:eastAsia="黑体" w:cs="黑体"/>
          <w:b/>
          <w:bCs/>
          <w:sz w:val="44"/>
          <w:szCs w:val="44"/>
        </w:rPr>
        <w:t xml:space="preserve">第一部分  </w:t>
      </w:r>
      <w:r>
        <w:rPr>
          <w:rFonts w:hint="eastAsia" w:ascii="黑体" w:hAnsi="黑体" w:eastAsia="黑体" w:cs="黑体"/>
          <w:b/>
          <w:bCs/>
          <w:sz w:val="44"/>
          <w:szCs w:val="44"/>
        </w:rPr>
        <w:t>蕉岭县广福镇中心小学概况</w:t>
      </w:r>
    </w:p>
    <w:p>
      <w:pPr>
        <w:jc w:val="center"/>
        <w:rPr>
          <w:rFonts w:hint="eastAsia" w:ascii="黑体" w:hAnsi="黑体" w:eastAsia="黑体" w:cs="黑体"/>
          <w:b/>
          <w:bCs/>
          <w:sz w:val="44"/>
          <w:szCs w:val="44"/>
        </w:rPr>
      </w:pPr>
    </w:p>
    <w:p>
      <w:pPr>
        <w:numPr>
          <w:numId w:val="0"/>
        </w:numPr>
        <w:rPr>
          <w:rFonts w:ascii="仿宋_GB2312" w:hAnsi="仿宋_GB2312" w:eastAsia="仿宋_GB2312" w:cs="仿宋_GB2312"/>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主要职责</w:t>
      </w:r>
    </w:p>
    <w:p>
      <w:pPr>
        <w:ind w:firstLine="641"/>
        <w:rPr>
          <w:rFonts w:ascii="仿宋_GB2312" w:hAnsi="仿宋_GB2312" w:eastAsia="仿宋_GB2312" w:cs="仿宋_GB2312"/>
          <w:sz w:val="32"/>
          <w:szCs w:val="32"/>
        </w:rPr>
      </w:pPr>
      <w:r>
        <w:rPr>
          <w:rFonts w:hint="eastAsia" w:ascii="仿宋_GB2312" w:hAnsi="仿宋_GB2312" w:eastAsia="仿宋_GB2312" w:cs="仿宋_GB2312"/>
          <w:sz w:val="32"/>
          <w:szCs w:val="32"/>
        </w:rPr>
        <w:t>蕉岭县广福镇中心小学是一所义务教育初级小学，承担小学教育教学任务。</w:t>
      </w:r>
    </w:p>
    <w:p>
      <w:pPr>
        <w:rPr>
          <w:rFonts w:ascii="黑体" w:hAnsi="黑体" w:eastAsia="黑体" w:cs="黑体"/>
          <w:sz w:val="32"/>
          <w:szCs w:val="32"/>
        </w:rPr>
      </w:pPr>
      <w:r>
        <w:rPr>
          <w:rFonts w:hint="eastAsia" w:ascii="黑体" w:hAnsi="黑体" w:eastAsia="黑体" w:cs="黑体"/>
          <w:sz w:val="32"/>
          <w:szCs w:val="32"/>
        </w:rPr>
        <w:t>二、机构设置</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（一）本部门</w:t>
      </w:r>
      <w:r>
        <w:rPr>
          <w:rFonts w:hint="eastAsia" w:ascii="仿宋_GB2312" w:eastAsia="仿宋_GB2312" w:hAnsiTheme="minorEastAsia"/>
          <w:sz w:val="32"/>
          <w:szCs w:val="32"/>
          <w:lang w:eastAsia="zh-CN"/>
        </w:rPr>
        <w:t>无下属单位，</w:t>
      </w:r>
      <w:r>
        <w:rPr>
          <w:rFonts w:hint="eastAsia" w:ascii="仿宋_GB2312" w:eastAsia="仿宋_GB2312" w:hAnsiTheme="minorEastAsia"/>
          <w:sz w:val="32"/>
          <w:szCs w:val="32"/>
        </w:rPr>
        <w:t>预算为一级预算单位，无所属二级预算单位。</w:t>
      </w:r>
    </w:p>
    <w:p>
      <w:pPr>
        <w:spacing w:line="288" w:lineRule="auto"/>
        <w:ind w:firstLine="640" w:firstLineChars="200"/>
        <w:rPr>
          <w:rFonts w:ascii="仿宋_GB2312" w:hAnsi="Calibri" w:eastAsia="仿宋_GB2312" w:cs="Times New Roman"/>
          <w:sz w:val="32"/>
          <w:szCs w:val="32"/>
        </w:rPr>
      </w:pPr>
      <w:r>
        <w:rPr>
          <w:rFonts w:hint="eastAsia" w:ascii="仿宋_GB2312" w:eastAsia="仿宋_GB2312"/>
          <w:sz w:val="32"/>
          <w:szCs w:val="32"/>
        </w:rPr>
        <w:t>（二）本部门内设机构、人员构成情况：本部门内设有教务处、德育处、少年宫、总务处。</w:t>
      </w:r>
      <w:r>
        <w:rPr>
          <w:rFonts w:hint="eastAsia" w:ascii="仿宋_GB2312" w:hAnsi="Calibri" w:eastAsia="仿宋_GB2312" w:cs="Times New Roman"/>
          <w:sz w:val="32"/>
          <w:szCs w:val="32"/>
        </w:rPr>
        <w:t>共有编制60人，实有在职人员58人、退休人员46人。</w:t>
      </w:r>
    </w:p>
    <w:p>
      <w:pPr>
        <w:ind w:firstLine="880" w:firstLineChars="2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5" w:firstLineChars="300"/>
        <w:rPr>
          <w:rFonts w:ascii="方正小标宋简体" w:hAnsi="方正小标宋简体" w:eastAsia="方正小标宋简体" w:cs="方正小标宋简体"/>
          <w:sz w:val="44"/>
          <w:szCs w:val="44"/>
        </w:rPr>
      </w:pPr>
      <w:r>
        <w:rPr>
          <w:rFonts w:hint="eastAsia" w:ascii="黑体" w:hAnsi="黑体" w:eastAsia="黑体" w:cs="黑体"/>
          <w:b/>
          <w:bCs/>
          <w:sz w:val="44"/>
          <w:szCs w:val="44"/>
        </w:rPr>
        <w:t>第二部分  2016年部门预算表</w:t>
      </w:r>
    </w:p>
    <w:p>
      <w:pPr>
        <w:jc w:val="center"/>
        <w:rPr>
          <w:rFonts w:ascii="方正小标宋简体" w:hAnsi="方正小标宋简体" w:eastAsia="方正小标宋简体" w:cs="方正小标宋简体"/>
          <w:sz w:val="44"/>
          <w:szCs w:val="44"/>
        </w:rPr>
      </w:pPr>
      <w:r>
        <w:br w:type="page"/>
      </w:r>
      <w:r>
        <w:rPr>
          <w:rFonts w:hint="eastAsia" w:ascii="黑体" w:hAnsi="黑体" w:eastAsia="黑体" w:cs="黑体"/>
          <w:b/>
          <w:bCs/>
          <w:sz w:val="44"/>
          <w:szCs w:val="44"/>
        </w:rPr>
        <w:t>第三部分  2016年部门预算情况说明</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w:t>
      </w:r>
      <w:r>
        <w:rPr>
          <w:rFonts w:hint="eastAsia" w:ascii="宋体" w:hAnsi="宋体"/>
          <w:sz w:val="32"/>
          <w:szCs w:val="32"/>
        </w:rPr>
        <w:t>687.8</w:t>
      </w:r>
      <w:r>
        <w:rPr>
          <w:rFonts w:hint="eastAsia" w:ascii="仿宋_GB2312" w:hAnsi="仿宋_GB2312" w:eastAsia="仿宋_GB2312" w:cs="仿宋_GB2312"/>
          <w:sz w:val="32"/>
          <w:szCs w:val="32"/>
        </w:rPr>
        <w:t>万元，比上年增加153.31万元，增22.3%，主要原因是提高在职工资和退休费等；支出预算</w:t>
      </w:r>
      <w:r>
        <w:rPr>
          <w:rFonts w:hint="eastAsia" w:ascii="宋体" w:hAnsi="宋体"/>
          <w:sz w:val="32"/>
          <w:szCs w:val="32"/>
        </w:rPr>
        <w:t>687.8</w:t>
      </w:r>
      <w:r>
        <w:rPr>
          <w:rFonts w:hint="eastAsia" w:ascii="仿宋_GB2312" w:hAnsi="仿宋_GB2312" w:eastAsia="仿宋_GB2312" w:cs="仿宋_GB2312"/>
          <w:sz w:val="32"/>
          <w:szCs w:val="32"/>
        </w:rPr>
        <w:t>万元，比上年增加153.31万元，增长22.3%，主要原因是支付在职工资和退休费等。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比上年增加0万元，增长0%，主要原因是与上年保持不变。其中：因公出国（境）费0万元，比上年增加0万元，增长0%，主要原因是与上年保持不变；公务用车购置及运行费0万元，比上年增加0万元，增长0%，主要原因是与上年保持不变；公务接待费0万元，比上年增加0万元，增长0%，主要原因是与上年保持不变。</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0万元，比上年增加0万元，增长0%，主要原因是与上年保持不变。其中：办公费0万元，印刷费0万元，邮电费0万元，差旅费0万元，会议费0万元，福利费0万元，日常维修费0万元，专用材料及一般设备购置费0万元，办公用房水电费0万元，办公用房取暖费0万元，办公用房物业管理费0万元，公务用车运行维护费0万元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 0万元，其中：货物类采购预算0万元，工程类采购预算0万元，服务类采购预算0万元等。</w:t>
      </w:r>
    </w:p>
    <w:p>
      <w:pPr>
        <w:numPr>
          <w:ilvl w:val="0"/>
          <w:numId w:val="3"/>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ind w:firstLine="480" w:firstLineChars="150"/>
        <w:rPr>
          <w:rFonts w:ascii="仿宋_GB2312" w:eastAsia="仿宋_GB2312"/>
          <w:sz w:val="32"/>
          <w:szCs w:val="32"/>
        </w:rPr>
      </w:pPr>
      <w:r>
        <w:rPr>
          <w:rFonts w:hint="eastAsia" w:ascii="仿宋_GB2312" w:eastAsia="仿宋_GB2312"/>
          <w:sz w:val="32"/>
          <w:szCs w:val="32"/>
        </w:rPr>
        <w:t>截至2016年1月31日，我校固定资产529.01万元，学校未购置车辆。单位价值50万元以上通用设备0台（套），单价100万元以上专用设备0台（套）。</w:t>
      </w:r>
    </w:p>
    <w:p>
      <w:pPr>
        <w:ind w:firstLine="480" w:firstLineChars="150"/>
        <w:rPr>
          <w:rFonts w:ascii="仿宋_GB2312" w:eastAsia="仿宋_GB2312"/>
          <w:sz w:val="32"/>
          <w:szCs w:val="32"/>
        </w:rPr>
      </w:pPr>
      <w:r>
        <w:rPr>
          <w:rFonts w:hint="eastAsia" w:ascii="黑体" w:hAnsi="黑体" w:eastAsia="黑体" w:cs="黑体"/>
          <w:sz w:val="32"/>
          <w:szCs w:val="32"/>
        </w:rPr>
        <w:t>六、</w:t>
      </w:r>
      <w:r>
        <w:rPr>
          <w:rFonts w:hint="eastAsia" w:ascii="黑体" w:hAnsi="黑体" w:eastAsia="黑体" w:cs="黑体"/>
          <w:sz w:val="32"/>
          <w:szCs w:val="32"/>
        </w:rPr>
        <w:t>预算绩效信息公开情况</w:t>
      </w:r>
    </w:p>
    <w:p>
      <w:pPr>
        <w:snapToGrid w:val="0"/>
        <w:spacing w:line="580" w:lineRule="exact"/>
        <w:ind w:firstLine="515" w:firstLineChars="161"/>
        <w:rPr>
          <w:rFonts w:ascii="仿宋_GB2312" w:eastAsia="仿宋_GB2312"/>
          <w:sz w:val="32"/>
          <w:szCs w:val="32"/>
        </w:rPr>
      </w:pPr>
      <w:r>
        <w:rPr>
          <w:rFonts w:hint="eastAsia" w:ascii="仿宋_GB2312" w:eastAsia="仿宋_GB2312"/>
          <w:sz w:val="32"/>
          <w:szCs w:val="32"/>
        </w:rPr>
        <w:t>我部门组织对2016年度一般公共预算项目支出全面开展绩效自评。自评覆盖率达到100%。</w:t>
      </w:r>
    </w:p>
    <w:p>
      <w:pPr>
        <w:snapToGrid w:val="0"/>
        <w:spacing w:line="580" w:lineRule="exact"/>
        <w:ind w:firstLine="640"/>
        <w:rPr>
          <w:rFonts w:ascii="仿宋_GB2312" w:eastAsia="仿宋_GB2312"/>
          <w:sz w:val="32"/>
          <w:szCs w:val="32"/>
        </w:rPr>
      </w:pPr>
      <w:r>
        <w:rPr>
          <w:rFonts w:hint="eastAsia" w:ascii="仿宋_GB2312" w:eastAsia="仿宋_GB2312"/>
          <w:sz w:val="32"/>
          <w:szCs w:val="32"/>
        </w:rPr>
        <w:t>从评价情况来看，各个项目支出绩效情况较为理想达到项目申请时设定的各项绩效目标。</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hint="eastAsia" w:ascii="黑体" w:hAnsi="黑体" w:eastAsia="黑体" w:cs="黑体"/>
          <w:b/>
          <w:bCs/>
          <w:sz w:val="44"/>
          <w:szCs w:val="44"/>
        </w:rPr>
      </w:pPr>
      <w:r>
        <w:rPr>
          <w:rFonts w:hint="eastAsia" w:ascii="黑体" w:hAnsi="黑体" w:eastAsia="黑体" w:cs="黑体"/>
          <w:b/>
          <w:bCs/>
          <w:sz w:val="44"/>
          <w:szCs w:val="44"/>
        </w:rPr>
        <w:br w:type="page"/>
      </w:r>
    </w:p>
    <w:p>
      <w:pPr>
        <w:jc w:val="center"/>
        <w:rPr>
          <w:rFonts w:hint="eastAsia" w:ascii="黑体" w:hAnsi="黑体" w:eastAsia="黑体" w:cs="黑体"/>
          <w:b/>
          <w:bCs/>
          <w:sz w:val="44"/>
          <w:szCs w:val="44"/>
        </w:rPr>
      </w:pPr>
      <w:r>
        <w:rPr>
          <w:rFonts w:hint="eastAsia" w:ascii="黑体" w:hAnsi="黑体" w:eastAsia="黑体" w:cs="黑体"/>
          <w:b/>
          <w:bCs/>
          <w:sz w:val="44"/>
          <w:szCs w:val="44"/>
        </w:rPr>
        <w:t>第四部分  名词解释</w:t>
      </w:r>
    </w:p>
    <w:p>
      <w:pPr>
        <w:numPr>
          <w:ilvl w:val="0"/>
          <w:numId w:val="4"/>
        </w:numPr>
        <w:spacing w:line="288" w:lineRule="auto"/>
        <w:ind w:firstLine="630" w:firstLineChars="196"/>
        <w:rPr>
          <w:rFonts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兰亭超细黑简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50C1"/>
    <w:multiLevelType w:val="singleLevel"/>
    <w:tmpl w:val="5A5F50C1"/>
    <w:lvl w:ilvl="0" w:tentative="0">
      <w:start w:val="1"/>
      <w:numFmt w:val="chineseCounting"/>
      <w:suff w:val="nothing"/>
      <w:lvlText w:val="%1、"/>
      <w:lvlJc w:val="left"/>
    </w:lvl>
  </w:abstractNum>
  <w:abstractNum w:abstractNumId="3">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D689C"/>
    <w:rsid w:val="001034A5"/>
    <w:rsid w:val="00120EC9"/>
    <w:rsid w:val="001B4C5B"/>
    <w:rsid w:val="001B56FD"/>
    <w:rsid w:val="0023301B"/>
    <w:rsid w:val="00314CCE"/>
    <w:rsid w:val="003672A2"/>
    <w:rsid w:val="003F473C"/>
    <w:rsid w:val="004C2C30"/>
    <w:rsid w:val="00517470"/>
    <w:rsid w:val="00542462"/>
    <w:rsid w:val="00566055"/>
    <w:rsid w:val="00575959"/>
    <w:rsid w:val="005F528D"/>
    <w:rsid w:val="006922AE"/>
    <w:rsid w:val="00703A40"/>
    <w:rsid w:val="00716555"/>
    <w:rsid w:val="007F4C60"/>
    <w:rsid w:val="008416AC"/>
    <w:rsid w:val="008975A3"/>
    <w:rsid w:val="009E0A50"/>
    <w:rsid w:val="00A31741"/>
    <w:rsid w:val="00B34EA8"/>
    <w:rsid w:val="00BD4C34"/>
    <w:rsid w:val="00C42B7B"/>
    <w:rsid w:val="00C46326"/>
    <w:rsid w:val="00CB2D8C"/>
    <w:rsid w:val="00D3342C"/>
    <w:rsid w:val="00E907C7"/>
    <w:rsid w:val="081D07C1"/>
    <w:rsid w:val="2F300128"/>
    <w:rsid w:val="4BA67EF4"/>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kern w:val="2"/>
      <w:sz w:val="18"/>
      <w:szCs w:val="18"/>
    </w:rPr>
  </w:style>
  <w:style w:type="character" w:customStyle="1" w:styleId="7">
    <w:name w:val="页脚 Char"/>
    <w:basedOn w:val="4"/>
    <w:link w:val="2"/>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1</Pages>
  <Words>345</Words>
  <Characters>1970</Characters>
  <Lines>16</Lines>
  <Paragraphs>4</Paragraphs>
  <TotalTime>98</TotalTime>
  <ScaleCrop>false</ScaleCrop>
  <LinksUpToDate>false</LinksUpToDate>
  <CharactersWithSpaces>2311</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2018-04-15T06:02:00Z</cp:lastPrinted>
  <dcterms:modified xsi:type="dcterms:W3CDTF">2018-05-23T07:11:56Z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