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r>
        <w:rPr>
          <w:rFonts w:ascii="方正小标宋简体" w:hAnsi="方正小标宋简体" w:eastAsia="方正小标宋简体" w:cs="方正小标宋简体"/>
          <w:sz w:val="84"/>
          <w:szCs w:val="84"/>
        </w:rPr>
        <w:t>2016</w:t>
      </w:r>
      <w:r>
        <w:rPr>
          <w:rFonts w:hint="eastAsia" w:ascii="方正小标宋简体" w:hAnsi="方正小标宋简体" w:eastAsia="方正小标宋简体" w:cs="方正小标宋简体"/>
          <w:sz w:val="84"/>
          <w:szCs w:val="84"/>
        </w:rPr>
        <w:t>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蕉岭县城镇初级中学</w:t>
      </w:r>
    </w:p>
    <w:p>
      <w:pPr>
        <w:jc w:val="center"/>
        <w:rPr>
          <w:rFonts w:ascii="方正小标宋简体" w:hAnsi="方正小标宋简体" w:eastAsia="方正小标宋简体" w:cs="Times New Roman"/>
          <w:sz w:val="84"/>
          <w:szCs w:val="84"/>
        </w:rPr>
      </w:pPr>
      <w:r>
        <w:rPr>
          <w:rFonts w:hint="eastAsia" w:ascii="方正小标宋简体" w:hAnsi="方正小标宋简体" w:eastAsia="方正小标宋简体" w:cs="方正小标宋简体"/>
          <w:sz w:val="84"/>
          <w:szCs w:val="84"/>
        </w:rPr>
        <w:t>部门预算</w:t>
      </w: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黑体" w:hAnsi="黑体" w:eastAsia="黑体" w:cs="Times New Roman"/>
          <w:sz w:val="44"/>
          <w:szCs w:val="44"/>
        </w:rPr>
      </w:pPr>
      <w:r>
        <w:rPr>
          <w:rFonts w:ascii="方正小标宋简体" w:hAnsi="方正小标宋简体" w:eastAsia="方正小标宋简体" w:cs="Times New Roman"/>
          <w:sz w:val="84"/>
          <w:szCs w:val="84"/>
        </w:rPr>
        <w:br w:type="page"/>
      </w: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jc w:val="center"/>
        <w:rPr>
          <w:rFonts w:ascii="黑体" w:hAnsi="黑体" w:eastAsia="黑体" w:cs="Times New Roman"/>
          <w:sz w:val="44"/>
          <w:szCs w:val="44"/>
        </w:rPr>
      </w:pPr>
    </w:p>
    <w:p>
      <w:pPr>
        <w:ind w:firstLine="640" w:firstLineChars="200"/>
        <w:rPr>
          <w:rFonts w:ascii="黑体" w:hAnsi="黑体" w:eastAsia="黑体" w:cs="Times New Roman"/>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蕉岭县城镇初级中学概况</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ind w:firstLine="640" w:firstLineChars="200"/>
        <w:rPr>
          <w:rFonts w:ascii="黑体" w:hAnsi="黑体" w:eastAsia="黑体" w:cs="Times New Roman"/>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ind w:firstLine="640" w:firstLineChars="200"/>
        <w:rPr>
          <w:rFonts w:ascii="黑体" w:hAnsi="黑体" w:eastAsia="黑体" w:cs="Times New Roman"/>
          <w:sz w:val="32"/>
          <w:szCs w:val="32"/>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Times New Roman"/>
          <w:sz w:val="44"/>
          <w:szCs w:val="44"/>
        </w:rPr>
      </w:pPr>
      <w:r>
        <w:rPr>
          <w:rFonts w:hint="eastAsia" w:ascii="黑体" w:hAnsi="黑体" w:eastAsia="黑体" w:cs="黑体"/>
          <w:sz w:val="48"/>
          <w:szCs w:val="48"/>
        </w:rPr>
        <w:t xml:space="preserve">第一部分  </w:t>
      </w:r>
      <w:r>
        <w:rPr>
          <w:rFonts w:hint="eastAsia" w:ascii="黑体" w:hAnsi="黑体" w:eastAsia="黑体" w:cs="黑体"/>
          <w:sz w:val="48"/>
          <w:szCs w:val="48"/>
        </w:rPr>
        <w:t>蕉岭县城镇初级中学概况</w:t>
      </w:r>
    </w:p>
    <w:p>
      <w:pPr>
        <w:rPr>
          <w:rFonts w:ascii="黑体" w:hAnsi="黑体" w:eastAsia="黑体" w:cs="Times New Roman"/>
          <w:sz w:val="44"/>
          <w:szCs w:val="44"/>
        </w:rPr>
      </w:pPr>
    </w:p>
    <w:p>
      <w:pPr>
        <w:numPr>
          <w:ilvl w:val="0"/>
          <w:numId w:val="3"/>
        </w:numPr>
        <w:ind w:firstLine="640"/>
        <w:rPr>
          <w:rFonts w:ascii="仿宋_GB2312" w:eastAsia="仿宋_GB2312" w:cs="Times New Roman"/>
          <w:b/>
          <w:bCs/>
          <w:sz w:val="32"/>
          <w:szCs w:val="32"/>
        </w:rPr>
      </w:pPr>
      <w:r>
        <w:rPr>
          <w:rFonts w:hint="eastAsia" w:ascii="黑体" w:hAnsi="黑体" w:eastAsia="黑体" w:cs="黑体"/>
          <w:sz w:val="32"/>
          <w:szCs w:val="32"/>
        </w:rPr>
        <w:t>主要职责</w:t>
      </w:r>
    </w:p>
    <w:p>
      <w:pPr>
        <w:ind w:firstLine="640" w:firstLineChars="200"/>
        <w:rPr>
          <w:rFonts w:ascii="仿宋_GB2312" w:eastAsia="仿宋_GB2312" w:cs="Times New Roman"/>
          <w:b/>
          <w:bCs/>
          <w:sz w:val="32"/>
          <w:szCs w:val="32"/>
        </w:rPr>
      </w:pPr>
      <w:r>
        <w:rPr>
          <w:rFonts w:hint="eastAsia" w:ascii="仿宋_GB2312" w:eastAsia="仿宋_GB2312" w:cs="仿宋_GB2312"/>
          <w:sz w:val="32"/>
          <w:szCs w:val="32"/>
        </w:rPr>
        <w:t>蕉岭县城镇初级中学是由蕉岭县教育局举办的一间中学，主要职能：承担中学教育。</w:t>
      </w:r>
    </w:p>
    <w:p>
      <w:pPr>
        <w:rPr>
          <w:rFonts w:ascii="仿宋_GB2312" w:hAnsi="仿宋_GB2312" w:eastAsia="仿宋_GB2312" w:cs="Times New Roman"/>
          <w:sz w:val="32"/>
          <w:szCs w:val="32"/>
        </w:rPr>
      </w:pPr>
    </w:p>
    <w:p>
      <w:pPr>
        <w:rPr>
          <w:rFonts w:ascii="黑体" w:hAnsi="黑体" w:eastAsia="黑体" w:cs="Times New Roman"/>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（一）本部门预算无下属单位，部门预算为本级预算。</w:t>
      </w:r>
    </w:p>
    <w:p>
      <w:pPr>
        <w:spacing w:line="288" w:lineRule="auto"/>
        <w:ind w:firstLine="640" w:firstLineChars="200"/>
        <w:rPr>
          <w:rFonts w:ascii="仿宋_GB2312" w:eastAsia="仿宋_GB2312" w:cs="Times New Roman"/>
          <w:sz w:val="32"/>
          <w:szCs w:val="32"/>
        </w:rPr>
      </w:pPr>
      <w:r>
        <w:rPr>
          <w:rFonts w:hint="eastAsia" w:ascii="仿宋_GB2312" w:hAnsi="仿宋_GB2312" w:eastAsia="仿宋_GB2312" w:cs="仿宋_GB2312"/>
          <w:sz w:val="32"/>
          <w:szCs w:val="32"/>
        </w:rPr>
        <w:t>（二）本部门内设机构：</w:t>
      </w:r>
      <w:r>
        <w:rPr>
          <w:rFonts w:hint="eastAsia" w:ascii="仿宋_GB2312" w:eastAsia="仿宋_GB2312" w:cs="仿宋_GB2312"/>
          <w:sz w:val="32"/>
          <w:szCs w:val="32"/>
        </w:rPr>
        <w:t>根据蕉委发</w:t>
      </w:r>
      <w:r>
        <w:rPr>
          <w:rFonts w:ascii="仿宋_GB2312" w:eastAsia="仿宋_GB2312" w:cs="仿宋_GB2312"/>
          <w:sz w:val="32"/>
          <w:szCs w:val="32"/>
        </w:rPr>
        <w:t>[2007]7</w:t>
      </w:r>
      <w:r>
        <w:rPr>
          <w:rFonts w:hint="eastAsia" w:ascii="仿宋_GB2312" w:eastAsia="仿宋_GB2312" w:cs="仿宋_GB2312"/>
          <w:sz w:val="32"/>
          <w:szCs w:val="32"/>
        </w:rPr>
        <w:t>号文件精神，城镇初级中学为一级预算单位，无所属二级预算单位，内设有教务处、政教处、团委、总务处。各部门互相协调，为教育教学服务。</w:t>
      </w:r>
    </w:p>
    <w:p>
      <w:pPr>
        <w:spacing w:line="288" w:lineRule="auto"/>
        <w:ind w:firstLine="640" w:firstLineChars="200"/>
        <w:rPr>
          <w:rFonts w:hint="eastAsia" w:ascii="仿宋_GB2312" w:eastAsia="仿宋_GB2312" w:cs="仿宋_GB2312"/>
          <w:sz w:val="32"/>
          <w:szCs w:val="32"/>
        </w:rPr>
      </w:pPr>
      <w:r>
        <w:rPr>
          <w:rFonts w:hint="eastAsia" w:ascii="仿宋_GB2312" w:hAnsi="仿宋_GB2312" w:eastAsia="仿宋_GB2312" w:cs="仿宋_GB2312"/>
          <w:sz w:val="32"/>
          <w:szCs w:val="32"/>
        </w:rPr>
        <w:t>人员构成情</w:t>
      </w:r>
      <w:r>
        <w:rPr>
          <w:rFonts w:hint="eastAsia" w:ascii="仿宋_GB2312" w:eastAsia="仿宋_GB2312" w:cs="仿宋_GB2312"/>
          <w:sz w:val="32"/>
          <w:szCs w:val="32"/>
        </w:rPr>
        <w:t>况：城镇初级中学共有82人，实有在职在编50人、退休人员32人。</w:t>
      </w:r>
    </w:p>
    <w:p>
      <w:pPr>
        <w:spacing w:line="288" w:lineRule="auto"/>
        <w:ind w:firstLine="640" w:firstLineChars="200"/>
        <w:rPr>
          <w:rFonts w:hint="eastAsia" w:ascii="仿宋_GB2312" w:eastAsia="仿宋_GB2312" w:cs="仿宋_GB2312"/>
          <w:sz w:val="32"/>
          <w:szCs w:val="32"/>
        </w:rPr>
      </w:pPr>
    </w:p>
    <w:p>
      <w:pPr>
        <w:rPr>
          <w:rFonts w:ascii="黑体" w:hAnsi="黑体" w:eastAsia="黑体" w:cs="Times New Roman"/>
          <w:sz w:val="44"/>
          <w:szCs w:val="44"/>
        </w:rPr>
        <w:sectPr>
          <w:pgSz w:w="11906" w:h="16838"/>
          <w:pgMar w:top="1440" w:right="1466" w:bottom="1440" w:left="1800" w:header="851" w:footer="992" w:gutter="0"/>
          <w:cols w:space="425" w:num="1"/>
          <w:docGrid w:type="lines" w:linePitch="312" w:charSpace="0"/>
        </w:sectPr>
      </w:pPr>
    </w:p>
    <w:p>
      <w:pPr>
        <w:jc w:val="center"/>
        <w:rPr>
          <w:rFonts w:hint="eastAsia" w:ascii="黑体" w:hAnsi="黑体" w:eastAsia="黑体" w:cs="黑体"/>
          <w:sz w:val="48"/>
          <w:szCs w:val="48"/>
        </w:rPr>
      </w:pPr>
      <w:r>
        <w:rPr>
          <w:rFonts w:hint="eastAsia" w:ascii="黑体" w:hAnsi="黑体" w:eastAsia="黑体" w:cs="黑体"/>
          <w:sz w:val="48"/>
          <w:szCs w:val="48"/>
        </w:rPr>
        <w:t>第二部分  2016年部门预算表（详见2016年部门预算公开表）</w:t>
      </w:r>
    </w:p>
    <w:p>
      <w:pPr>
        <w:jc w:val="center"/>
        <w:rPr>
          <w:rFonts w:hint="eastAsia" w:ascii="黑体" w:hAnsi="黑体" w:eastAsia="黑体" w:cs="黑体"/>
          <w:sz w:val="48"/>
          <w:szCs w:val="48"/>
        </w:rPr>
      </w:pPr>
    </w:p>
    <w:p>
      <w:pPr>
        <w:jc w:val="center"/>
        <w:rPr>
          <w:rFonts w:hint="eastAsia" w:ascii="黑体" w:hAnsi="黑体" w:eastAsia="黑体" w:cs="黑体"/>
          <w:sz w:val="48"/>
          <w:szCs w:val="48"/>
        </w:rPr>
      </w:pPr>
    </w:p>
    <w:p>
      <w:pPr>
        <w:jc w:val="center"/>
        <w:rPr>
          <w:rFonts w:hint="eastAsia" w:ascii="黑体" w:hAnsi="黑体" w:eastAsia="黑体" w:cs="黑体"/>
          <w:sz w:val="48"/>
          <w:szCs w:val="48"/>
        </w:rPr>
      </w:pPr>
      <w:r>
        <w:rPr>
          <w:rFonts w:hint="eastAsia" w:ascii="黑体" w:hAnsi="黑体" w:eastAsia="黑体" w:cs="黑体"/>
          <w:sz w:val="48"/>
          <w:szCs w:val="48"/>
        </w:rPr>
        <w:br w:type="page"/>
      </w:r>
      <w:r>
        <w:rPr>
          <w:rFonts w:hint="eastAsia" w:ascii="黑体" w:hAnsi="黑体" w:eastAsia="黑体" w:cs="黑体"/>
          <w:sz w:val="48"/>
          <w:szCs w:val="48"/>
        </w:rPr>
        <w:t>第三部分  2016年部门预算情况说明</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部门预算收支增减变化情况</w:t>
      </w:r>
    </w:p>
    <w:p>
      <w:pPr>
        <w:ind w:firstLine="640"/>
        <w:rPr>
          <w:rFonts w:ascii="黑体" w:hAnsi="黑体" w:eastAsia="黑体" w:cs="Times New Roman"/>
          <w:sz w:val="32"/>
          <w:szCs w:val="32"/>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rPr>
        <w:t>6年本部门收入预算</w:t>
      </w:r>
      <w:r>
        <w:rPr>
          <w:rFonts w:hint="eastAsia" w:ascii="宋体" w:hAnsi="宋体"/>
          <w:sz w:val="32"/>
          <w:szCs w:val="32"/>
        </w:rPr>
        <w:t>6253426</w:t>
      </w:r>
      <w:r>
        <w:rPr>
          <w:rFonts w:hint="eastAsia" w:ascii="仿宋_GB2312" w:hAnsi="仿宋_GB2312" w:eastAsia="仿宋_GB2312" w:cs="仿宋_GB2312"/>
          <w:sz w:val="32"/>
          <w:szCs w:val="32"/>
        </w:rPr>
        <w:t>元，比上年4306916</w:t>
      </w:r>
      <w:r>
        <w:rPr>
          <w:rFonts w:hint="eastAsia" w:ascii="宋体" w:hAnsi="宋体" w:eastAsia="仿宋_GB2312" w:cs="仿宋_GB2312"/>
          <w:sz w:val="32"/>
          <w:szCs w:val="32"/>
        </w:rPr>
        <w:t>元</w:t>
      </w:r>
      <w:r>
        <w:rPr>
          <w:rFonts w:hint="eastAsia" w:ascii="仿宋_GB2312" w:hAnsi="仿宋_GB2312" w:eastAsia="仿宋_GB2312" w:cs="仿宋_GB2312"/>
          <w:sz w:val="32"/>
          <w:szCs w:val="32"/>
        </w:rPr>
        <w:t>增加1946510元，增长31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，主要原因是政府加大了对教育的投入，提高了教师的工资待遇；支出预算</w:t>
      </w:r>
      <w:r>
        <w:rPr>
          <w:rFonts w:hint="eastAsia" w:ascii="宋体" w:hAnsi="宋体"/>
          <w:sz w:val="32"/>
          <w:szCs w:val="32"/>
        </w:rPr>
        <w:t>6253426</w:t>
      </w:r>
      <w:r>
        <w:rPr>
          <w:rFonts w:hint="eastAsia" w:ascii="仿宋_GB2312" w:hAnsi="仿宋_GB2312" w:eastAsia="仿宋_GB2312" w:cs="仿宋_GB2312"/>
          <w:sz w:val="32"/>
          <w:szCs w:val="32"/>
        </w:rPr>
        <w:t>元，比上年4306916</w:t>
      </w:r>
      <w:r>
        <w:rPr>
          <w:rFonts w:hint="eastAsia" w:ascii="宋体" w:hAnsi="宋体" w:eastAsia="仿宋_GB2312" w:cs="仿宋_GB2312"/>
          <w:sz w:val="32"/>
          <w:szCs w:val="32"/>
        </w:rPr>
        <w:t>元</w:t>
      </w:r>
      <w:r>
        <w:rPr>
          <w:rFonts w:hint="eastAsia" w:ascii="仿宋_GB2312" w:hAnsi="仿宋_GB2312" w:eastAsia="仿宋_GB2312" w:cs="仿宋_GB2312"/>
          <w:sz w:val="32"/>
          <w:szCs w:val="32"/>
        </w:rPr>
        <w:t>增加1946510元，增长31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，主要原因是政府加大了对教育的投入，提高了教师的工资待遇。</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Times New Roman"/>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年本部门“三公”经费预算安排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万元，与上年保持不变。其中：因公出国（境）费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万元，与上年保持不变；公务用车购置及运行费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万元，与上年保持不变；公务接待费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机关运行经费安排情况</w:t>
      </w:r>
    </w:p>
    <w:p>
      <w:pPr>
        <w:rPr>
          <w:rFonts w:ascii="仿宋_GB2312" w:hAnsi="仿宋_GB2312" w:eastAsia="仿宋_GB2312" w:cs="Times New Roman"/>
          <w:sz w:val="32"/>
          <w:szCs w:val="32"/>
        </w:rPr>
      </w:pPr>
      <w:r>
        <w:rPr>
          <w:rFonts w:ascii="仿宋_GB2312" w:hAnsi="仿宋_GB2312" w:eastAsia="仿宋_GB2312" w:cs="仿宋_GB2312"/>
          <w:color w:val="FF0000"/>
          <w:sz w:val="32"/>
          <w:szCs w:val="32"/>
        </w:rPr>
        <w:t xml:space="preserve">   </w:t>
      </w: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年，本部门机关运行经费安排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万元，其中：办公费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，印刷费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，邮电费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，差旅费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，会议费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，福利费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，日常维修费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，专用材料及一般设备购置费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，办公用房水电费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，办公用房取暖费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，办公用房物业管理费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，公务用车运行维护费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等。</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政府采购情况</w:t>
      </w:r>
    </w:p>
    <w:p>
      <w:pPr>
        <w:rPr>
          <w:rFonts w:ascii="仿宋_GB2312" w:hAnsi="仿宋_GB2312" w:eastAsia="仿宋_GB2312" w:cs="Times New Roman"/>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年本部门政府采购安排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万元，其中：货物类采购预算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万元，工程类采购预算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万元，服务类采购预算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万元等。</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国有资产占有使用情况</w:t>
      </w:r>
    </w:p>
    <w:p>
      <w:pPr>
        <w:spacing w:line="580" w:lineRule="exact"/>
        <w:ind w:firstLine="640" w:firstLineChars="200"/>
        <w:rPr>
          <w:rFonts w:ascii="仿宋_GB2312" w:eastAsia="仿宋_GB2312" w:cs="Times New Roman"/>
          <w:b/>
          <w:bCs/>
          <w:sz w:val="32"/>
          <w:szCs w:val="32"/>
        </w:rPr>
      </w:pPr>
      <w:r>
        <w:rPr>
          <w:rFonts w:hint="eastAsia" w:ascii="仿宋_GB2312" w:eastAsia="仿宋_GB2312" w:cs="仿宋_GB2312"/>
          <w:sz w:val="32"/>
          <w:szCs w:val="32"/>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日，本部门共有车辆</w:t>
      </w:r>
      <w:r>
        <w:rPr>
          <w:rFonts w:ascii="仿宋_GB2312" w:eastAsia="仿宋_GB2312" w:cs="仿宋_GB2312"/>
          <w:sz w:val="32"/>
          <w:szCs w:val="32"/>
        </w:rPr>
        <w:t>0</w:t>
      </w:r>
      <w:r>
        <w:rPr>
          <w:rFonts w:hint="eastAsia" w:ascii="仿宋_GB2312" w:eastAsia="仿宋_GB2312" w:cs="仿宋_GB2312"/>
          <w:sz w:val="32"/>
          <w:szCs w:val="32"/>
        </w:rPr>
        <w:t>辆；</w:t>
      </w:r>
      <w:r>
        <w:rPr>
          <w:rFonts w:hint="eastAsia" w:ascii="仿宋_GB2312" w:hAnsi="宋体" w:eastAsia="仿宋_GB2312" w:cs="仿宋_GB2312"/>
          <w:b/>
          <w:bCs/>
          <w:kern w:val="0"/>
          <w:sz w:val="32"/>
          <w:szCs w:val="32"/>
        </w:rPr>
        <w:t>单位价值</w:t>
      </w:r>
      <w:r>
        <w:rPr>
          <w:rFonts w:ascii="仿宋_GB2312" w:hAnsi="宋体" w:eastAsia="仿宋_GB2312" w:cs="仿宋_GB2312"/>
          <w:b/>
          <w:bCs/>
          <w:kern w:val="0"/>
          <w:sz w:val="32"/>
          <w:szCs w:val="32"/>
        </w:rPr>
        <w:t>50</w:t>
      </w:r>
      <w:r>
        <w:rPr>
          <w:rFonts w:hint="eastAsia" w:ascii="仿宋_GB2312" w:hAnsi="宋体" w:eastAsia="仿宋_GB2312" w:cs="仿宋_GB2312"/>
          <w:b/>
          <w:bCs/>
          <w:kern w:val="0"/>
          <w:sz w:val="32"/>
          <w:szCs w:val="32"/>
        </w:rPr>
        <w:t>万元以上通用设备</w:t>
      </w:r>
      <w:r>
        <w:rPr>
          <w:rFonts w:ascii="仿宋_GB2312" w:hAnsi="宋体" w:eastAsia="仿宋_GB2312" w:cs="仿宋_GB2312"/>
          <w:b/>
          <w:bCs/>
          <w:kern w:val="0"/>
          <w:sz w:val="32"/>
          <w:szCs w:val="32"/>
        </w:rPr>
        <w:t>0</w:t>
      </w:r>
      <w:r>
        <w:rPr>
          <w:rFonts w:hint="eastAsia" w:ascii="仿宋_GB2312" w:hAnsi="宋体" w:eastAsia="仿宋_GB2312" w:cs="仿宋_GB2312"/>
          <w:b/>
          <w:bCs/>
          <w:kern w:val="0"/>
          <w:sz w:val="32"/>
          <w:szCs w:val="32"/>
        </w:rPr>
        <w:t>台（套），单价</w:t>
      </w:r>
      <w:r>
        <w:rPr>
          <w:rFonts w:ascii="仿宋_GB2312" w:hAnsi="宋体" w:eastAsia="仿宋_GB2312" w:cs="仿宋_GB2312"/>
          <w:b/>
          <w:bCs/>
          <w:kern w:val="0"/>
          <w:sz w:val="32"/>
          <w:szCs w:val="32"/>
        </w:rPr>
        <w:t>100</w:t>
      </w:r>
      <w:r>
        <w:rPr>
          <w:rFonts w:hint="eastAsia" w:ascii="仿宋_GB2312" w:hAnsi="宋体" w:eastAsia="仿宋_GB2312" w:cs="仿宋_GB2312"/>
          <w:b/>
          <w:bCs/>
          <w:kern w:val="0"/>
          <w:sz w:val="32"/>
          <w:szCs w:val="32"/>
        </w:rPr>
        <w:t>万元以上专用设备</w:t>
      </w:r>
      <w:r>
        <w:rPr>
          <w:rFonts w:ascii="仿宋_GB2312" w:hAnsi="宋体" w:eastAsia="仿宋_GB2312" w:cs="仿宋_GB2312"/>
          <w:b/>
          <w:bCs/>
          <w:kern w:val="0"/>
          <w:sz w:val="32"/>
          <w:szCs w:val="32"/>
        </w:rPr>
        <w:t>0</w:t>
      </w:r>
      <w:r>
        <w:rPr>
          <w:rFonts w:hint="eastAsia" w:ascii="仿宋_GB2312" w:hAnsi="宋体" w:eastAsia="仿宋_GB2312" w:cs="仿宋_GB2312"/>
          <w:b/>
          <w:bCs/>
          <w:kern w:val="0"/>
          <w:sz w:val="32"/>
          <w:szCs w:val="32"/>
        </w:rPr>
        <w:t>台（套）。</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预算绩效信息公开情况</w:t>
      </w:r>
    </w:p>
    <w:p>
      <w:pPr>
        <w:ind w:firstLine="640"/>
        <w:rPr>
          <w:rFonts w:ascii="方正小标宋简体" w:hAnsi="方正小标宋简体" w:eastAsia="方正小标宋简体" w:cs="Times New Roman"/>
          <w:sz w:val="44"/>
          <w:szCs w:val="44"/>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年，本部门积极按照要求推进相关预算绩效信息公开。</w:t>
      </w: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hint="eastAsia" w:ascii="黑体" w:hAnsi="黑体" w:eastAsia="黑体" w:cs="黑体"/>
          <w:sz w:val="48"/>
          <w:szCs w:val="48"/>
        </w:rPr>
      </w:pPr>
      <w:r>
        <w:rPr>
          <w:rFonts w:hint="eastAsia" w:ascii="黑体" w:hAnsi="黑体" w:eastAsia="黑体" w:cs="黑体"/>
          <w:sz w:val="48"/>
          <w:szCs w:val="48"/>
        </w:rPr>
        <w:br w:type="page"/>
      </w:r>
      <w:r>
        <w:rPr>
          <w:rFonts w:hint="eastAsia" w:ascii="黑体" w:hAnsi="黑体" w:eastAsia="黑体" w:cs="黑体"/>
          <w:sz w:val="48"/>
          <w:szCs w:val="48"/>
        </w:rPr>
        <w:t>第四部分  名词解释</w:t>
      </w:r>
    </w:p>
    <w:p>
      <w:pPr>
        <w:numPr>
          <w:ilvl w:val="0"/>
          <w:numId w:val="5"/>
        </w:numPr>
        <w:spacing w:line="288" w:lineRule="auto"/>
        <w:ind w:firstLine="630" w:firstLineChars="196"/>
        <w:rPr>
          <w:rFonts w:ascii="仿宋_GB2312" w:eastAsia="仿宋_GB2312" w:cs="Times New Roman"/>
          <w:sz w:val="32"/>
          <w:szCs w:val="32"/>
        </w:rPr>
      </w:pPr>
      <w:bookmarkStart w:id="0" w:name="_GoBack"/>
      <w:bookmarkEnd w:id="0"/>
      <w:r>
        <w:rPr>
          <w:rFonts w:hint="eastAsia" w:ascii="仿宋_GB2312" w:eastAsia="仿宋_GB2312" w:cs="仿宋_GB2312"/>
          <w:b/>
          <w:bCs/>
          <w:sz w:val="32"/>
          <w:szCs w:val="32"/>
        </w:rPr>
        <w:t>财政拨款收入：</w:t>
      </w:r>
      <w:r>
        <w:rPr>
          <w:rFonts w:hint="eastAsia" w:ascii="仿宋_GB2312" w:eastAsia="仿宋_GB2312" w:cs="仿宋_GB2312"/>
          <w:sz w:val="32"/>
          <w:szCs w:val="32"/>
        </w:rPr>
        <w:t>指财政当年拨付的资金事业收入。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二、事业收入：</w:t>
      </w:r>
      <w:r>
        <w:rPr>
          <w:rFonts w:hint="eastAsia" w:ascii="仿宋_GB2312" w:eastAsia="仿宋_GB2312" w:cs="仿宋_GB2312"/>
          <w:sz w:val="32"/>
          <w:szCs w:val="32"/>
        </w:rPr>
        <w:t>指事业单位开展专业业务活动及辅动所取得的收入。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三、经营收入：</w:t>
      </w:r>
      <w:r>
        <w:rPr>
          <w:rFonts w:hint="eastAsia" w:ascii="仿宋_GB2312" w:eastAsia="仿宋_GB2312" w:cs="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四、其他收入：</w:t>
      </w:r>
      <w:r>
        <w:rPr>
          <w:rFonts w:hint="eastAsia" w:ascii="仿宋_GB2312" w:eastAsia="仿宋_GB2312" w:cs="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五、用事业基金弥补收支差额：</w:t>
      </w:r>
      <w:r>
        <w:rPr>
          <w:rFonts w:hint="eastAsia" w:ascii="仿宋_GB2312" w:eastAsia="仿宋_GB2312" w:cs="仿宋_GB2312"/>
          <w:sz w:val="32"/>
          <w:szCs w:val="32"/>
        </w:rPr>
        <w:t>指事业单位在用当年的“财政拨款收入”、</w:t>
      </w:r>
      <w:r>
        <w:rPr>
          <w:rFonts w:ascii="仿宋_GB2312" w:eastAsia="仿宋_GB2312" w:cs="仿宋_GB2312"/>
          <w:sz w:val="32"/>
          <w:szCs w:val="32"/>
        </w:rPr>
        <w:t xml:space="preserve"> </w:t>
      </w:r>
      <w:r>
        <w:rPr>
          <w:rFonts w:hint="eastAsia" w:ascii="仿宋_GB2312" w:eastAsia="仿宋_GB2312" w:cs="仿宋_GB2312"/>
          <w:sz w:val="32"/>
          <w:szCs w:val="32"/>
        </w:rPr>
        <w:t>“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六、基本支出：</w:t>
      </w:r>
      <w:r>
        <w:rPr>
          <w:rFonts w:hint="eastAsia" w:ascii="仿宋_GB2312" w:eastAsia="仿宋_GB2312" w:cs="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七、项目支出：</w:t>
      </w:r>
      <w:r>
        <w:rPr>
          <w:rFonts w:hint="eastAsia" w:ascii="仿宋_GB2312" w:eastAsia="仿宋_GB2312" w:cs="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八、经营支出：</w:t>
      </w:r>
      <w:r>
        <w:rPr>
          <w:rFonts w:hint="eastAsia" w:ascii="仿宋_GB2312" w:eastAsia="仿宋_GB2312" w:cs="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Times New Roman"/>
          <w:kern w:val="0"/>
          <w:sz w:val="32"/>
          <w:szCs w:val="32"/>
        </w:rPr>
      </w:pPr>
      <w:r>
        <w:rPr>
          <w:rFonts w:hint="eastAsia" w:ascii="仿宋_GB2312" w:eastAsia="仿宋_GB2312" w:cs="仿宋_GB2312"/>
          <w:b/>
          <w:bCs/>
          <w:sz w:val="32"/>
          <w:szCs w:val="32"/>
        </w:rPr>
        <w:t>九、“三公”经费：</w:t>
      </w:r>
      <w:r>
        <w:rPr>
          <w:rFonts w:hint="eastAsia" w:ascii="仿宋_GB2312" w:hAnsi="宋体" w:eastAsia="仿宋_GB2312" w:cs="仿宋_GB2312"/>
          <w:kern w:val="0"/>
          <w:sz w:val="32"/>
          <w:szCs w:val="32"/>
        </w:rPr>
        <w:t>按照党中央、国务院有关文件及部门预算管理有关规定，“三公”经费包括因公出国（境）费、公务用车购置及运行费和公务接待费。（</w:t>
      </w: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）因公出国（境）费，指单位工作人员公务出国（境）的住宿费、旅费、伙食补助费、杂费、培训费等支出。（</w:t>
      </w: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）公务接待费，指单位按规定开支的各类公务接待（含外宾接待）支出。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十、机关运行经费：</w:t>
      </w:r>
      <w:r>
        <w:rPr>
          <w:rFonts w:hint="eastAsia" w:ascii="仿宋_GB2312" w:eastAsia="仿宋_GB2312" w:cs="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ind w:firstLine="420" w:firstLineChars="200"/>
        <w:jc w:val="left"/>
        <w:rPr>
          <w:rFonts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34EA7"/>
    <w:rsid w:val="000D46AE"/>
    <w:rsid w:val="002031B1"/>
    <w:rsid w:val="003428AF"/>
    <w:rsid w:val="00492503"/>
    <w:rsid w:val="004C70A1"/>
    <w:rsid w:val="005022EE"/>
    <w:rsid w:val="00515579"/>
    <w:rsid w:val="00660E3B"/>
    <w:rsid w:val="006A7B9A"/>
    <w:rsid w:val="007030EB"/>
    <w:rsid w:val="008F34E6"/>
    <w:rsid w:val="00971B56"/>
    <w:rsid w:val="00991306"/>
    <w:rsid w:val="009E71B8"/>
    <w:rsid w:val="00B81025"/>
    <w:rsid w:val="00C85692"/>
    <w:rsid w:val="00C905E7"/>
    <w:rsid w:val="00E71BE4"/>
    <w:rsid w:val="00EB6B1C"/>
    <w:rsid w:val="00FB5518"/>
    <w:rsid w:val="00FD2319"/>
    <w:rsid w:val="081D07C1"/>
    <w:rsid w:val="1B9E4CF9"/>
    <w:rsid w:val="299E20A7"/>
    <w:rsid w:val="2F300128"/>
    <w:rsid w:val="587E5B40"/>
    <w:rsid w:val="658E0CA7"/>
    <w:rsid w:val="69F0015C"/>
    <w:rsid w:val="6D5350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www.ftpdown.com</Company>
  <Pages>7</Pages>
  <Words>299</Words>
  <Characters>1707</Characters>
  <Lines>14</Lines>
  <Paragraphs>4</Paragraphs>
  <TotalTime>23</TotalTime>
  <ScaleCrop>false</ScaleCrop>
  <LinksUpToDate>false</LinksUpToDate>
  <CharactersWithSpaces>2002</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2018-05-23T08:31:22Z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