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2016年蕉岭县城东学校</w:t>
      </w: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部门预算</w:t>
      </w: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黑体" w:hAnsi="黑体" w:eastAsia="黑体" w:cs="黑体"/>
          <w:sz w:val="44"/>
          <w:szCs w:val="44"/>
        </w:rPr>
      </w:pPr>
      <w:r>
        <w:rPr>
          <w:rFonts w:hint="eastAsia" w:ascii="方正小标宋简体" w:hAnsi="方正小标宋简体" w:eastAsia="方正小标宋简体" w:cs="方正小标宋简体"/>
          <w:sz w:val="84"/>
          <w:szCs w:val="84"/>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 录</w:t>
      </w:r>
    </w:p>
    <w:p>
      <w:pPr>
        <w:jc w:val="center"/>
        <w:rPr>
          <w:rFonts w:ascii="黑体" w:hAnsi="黑体" w:eastAsia="黑体" w:cs="黑体"/>
          <w:sz w:val="44"/>
          <w:szCs w:val="44"/>
        </w:rPr>
      </w:pPr>
    </w:p>
    <w:p>
      <w:pPr>
        <w:ind w:firstLine="640" w:firstLineChars="200"/>
        <w:rPr>
          <w:rFonts w:ascii="黑体" w:hAnsi="黑体" w:eastAsia="黑体" w:cs="黑体"/>
          <w:sz w:val="32"/>
          <w:szCs w:val="32"/>
        </w:rPr>
      </w:pPr>
      <w:r>
        <w:rPr>
          <w:rFonts w:hint="eastAsia" w:ascii="黑体" w:hAnsi="黑体" w:eastAsia="黑体" w:cs="黑体"/>
          <w:sz w:val="32"/>
          <w:szCs w:val="32"/>
        </w:rPr>
        <w:t>第一部分  蕉岭县城东学校概况</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主要职责</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机构设置</w:t>
      </w:r>
    </w:p>
    <w:p>
      <w:pPr>
        <w:ind w:firstLine="640" w:firstLineChars="200"/>
        <w:rPr>
          <w:rFonts w:ascii="黑体" w:hAnsi="黑体" w:eastAsia="黑体" w:cs="黑体"/>
          <w:sz w:val="32"/>
          <w:szCs w:val="32"/>
        </w:rPr>
      </w:pPr>
      <w:r>
        <w:rPr>
          <w:rFonts w:hint="eastAsia" w:ascii="黑体" w:hAnsi="黑体" w:eastAsia="黑体" w:cs="黑体"/>
          <w:sz w:val="32"/>
          <w:szCs w:val="32"/>
        </w:rPr>
        <w:t>第二部分  2016年部门预算表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收入总体情况表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支出总体情况表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一般公共预算支出情况表（按功能分类科目）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一般公共预算项目支出情况表（按支出经济分类科目）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一般公共预算安排的行政经费及“三公”经费预算表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部门预算基本支出预算表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部门预算项目支出及其他支出预算表</w:t>
      </w:r>
    </w:p>
    <w:p>
      <w:pPr>
        <w:ind w:firstLine="640" w:firstLineChars="200"/>
        <w:rPr>
          <w:rFonts w:ascii="黑体" w:hAnsi="黑体" w:eastAsia="黑体" w:cs="黑体"/>
          <w:sz w:val="32"/>
          <w:szCs w:val="32"/>
        </w:rPr>
      </w:pPr>
      <w:r>
        <w:rPr>
          <w:rFonts w:hint="eastAsia" w:ascii="黑体" w:hAnsi="黑体" w:eastAsia="黑体" w:cs="黑体"/>
          <w:sz w:val="32"/>
          <w:szCs w:val="32"/>
        </w:rPr>
        <w:t>第三部分 2016年部门预算情况说明</w:t>
      </w:r>
    </w:p>
    <w:p>
      <w:pPr>
        <w:ind w:firstLine="640" w:firstLineChars="200"/>
        <w:rPr>
          <w:rFonts w:ascii="黑体" w:hAnsi="黑体" w:eastAsia="黑体" w:cs="黑体"/>
          <w:sz w:val="32"/>
          <w:szCs w:val="32"/>
        </w:rPr>
      </w:pPr>
      <w:r>
        <w:rPr>
          <w:rFonts w:hint="eastAsia" w:ascii="黑体" w:hAnsi="黑体" w:eastAsia="黑体" w:cs="黑体"/>
          <w:sz w:val="32"/>
          <w:szCs w:val="32"/>
        </w:rPr>
        <w:t>第四部分  名词解释</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第一部分  蕉岭县城东学校概况</w:t>
      </w:r>
    </w:p>
    <w:p>
      <w:pPr>
        <w:rPr>
          <w:rFonts w:ascii="黑体" w:hAnsi="黑体" w:eastAsia="黑体" w:cs="黑体"/>
          <w:sz w:val="44"/>
          <w:szCs w:val="44"/>
        </w:rPr>
      </w:pPr>
    </w:p>
    <w:p>
      <w:pPr>
        <w:widowControl/>
        <w:shd w:val="clear" w:color="auto" w:fill="FFFFFF"/>
        <w:spacing w:line="471" w:lineRule="atLeast"/>
        <w:ind w:firstLine="640" w:firstLineChars="200"/>
        <w:jc w:val="left"/>
        <w:rPr>
          <w:rFonts w:ascii="黑体" w:hAnsi="黑体" w:eastAsia="黑体" w:cs="黑体"/>
          <w:sz w:val="32"/>
          <w:szCs w:val="32"/>
        </w:rPr>
      </w:pPr>
      <w:r>
        <w:rPr>
          <w:rFonts w:hint="eastAsia" w:ascii="黑体" w:hAnsi="黑体" w:eastAsia="黑体" w:cs="黑体"/>
          <w:sz w:val="32"/>
          <w:szCs w:val="32"/>
        </w:rPr>
        <w:t>一、主要职责</w:t>
      </w:r>
    </w:p>
    <w:p>
      <w:pPr>
        <w:widowControl/>
        <w:shd w:val="clear" w:color="auto" w:fill="FFFFFF"/>
        <w:spacing w:line="471" w:lineRule="atLeast"/>
        <w:ind w:firstLine="600" w:firstLineChars="200"/>
        <w:jc w:val="left"/>
        <w:rPr>
          <w:rFonts w:hint="eastAsia" w:ascii="仿宋" w:hAnsi="仿宋" w:eastAsia="仿宋" w:cs="仿宋"/>
          <w:kern w:val="0"/>
          <w:sz w:val="30"/>
          <w:szCs w:val="30"/>
        </w:rPr>
      </w:pPr>
      <w:r>
        <w:rPr>
          <w:rFonts w:hint="eastAsia" w:ascii="仿宋" w:hAnsi="仿宋" w:eastAsia="仿宋" w:cs="仿宋"/>
          <w:kern w:val="0"/>
          <w:sz w:val="30"/>
          <w:szCs w:val="30"/>
        </w:rPr>
        <w:t>1.贯彻执行党和国家的教育方针、政策、法律和法规，坚持依法治教，依法办学。</w:t>
      </w:r>
    </w:p>
    <w:p>
      <w:pPr>
        <w:widowControl/>
        <w:shd w:val="clear" w:color="auto" w:fill="FFFFFF"/>
        <w:spacing w:line="471" w:lineRule="atLeast"/>
        <w:ind w:firstLine="600" w:firstLineChars="200"/>
        <w:jc w:val="left"/>
        <w:rPr>
          <w:rFonts w:hint="eastAsia" w:ascii="仿宋" w:hAnsi="仿宋" w:eastAsia="仿宋" w:cs="仿宋"/>
          <w:kern w:val="0"/>
          <w:sz w:val="30"/>
          <w:szCs w:val="30"/>
        </w:rPr>
      </w:pPr>
      <w:r>
        <w:rPr>
          <w:rFonts w:hint="eastAsia" w:ascii="仿宋" w:hAnsi="仿宋" w:eastAsia="仿宋" w:cs="仿宋"/>
          <w:kern w:val="0"/>
          <w:sz w:val="30"/>
          <w:szCs w:val="30"/>
        </w:rPr>
        <w:t>2.根据区政府制定的教育事业发展规划，制定本校教育发展规划和计划并抓好组织实施和落实工作。</w:t>
      </w:r>
    </w:p>
    <w:p>
      <w:pPr>
        <w:widowControl/>
        <w:shd w:val="clear" w:color="auto" w:fill="FFFFFF"/>
        <w:spacing w:line="471" w:lineRule="atLeast"/>
        <w:ind w:firstLine="600" w:firstLineChars="200"/>
        <w:jc w:val="left"/>
        <w:rPr>
          <w:rFonts w:hint="eastAsia" w:ascii="仿宋" w:hAnsi="仿宋" w:eastAsia="仿宋" w:cs="仿宋"/>
          <w:kern w:val="0"/>
          <w:sz w:val="30"/>
          <w:szCs w:val="30"/>
        </w:rPr>
      </w:pPr>
      <w:r>
        <w:rPr>
          <w:rFonts w:hint="eastAsia" w:ascii="仿宋" w:hAnsi="仿宋" w:eastAsia="仿宋" w:cs="仿宋"/>
          <w:kern w:val="0"/>
          <w:sz w:val="30"/>
          <w:szCs w:val="30"/>
        </w:rPr>
        <w:t>3.按照管理权限，负责对本学校的教师进行管理。</w:t>
      </w:r>
    </w:p>
    <w:p>
      <w:pPr>
        <w:widowControl/>
        <w:shd w:val="clear" w:color="auto" w:fill="FFFFFF"/>
        <w:spacing w:line="471" w:lineRule="atLeast"/>
        <w:ind w:firstLine="600" w:firstLineChars="200"/>
        <w:jc w:val="left"/>
        <w:rPr>
          <w:rFonts w:hint="eastAsia" w:ascii="仿宋" w:hAnsi="仿宋" w:eastAsia="仿宋" w:cs="仿宋"/>
          <w:kern w:val="0"/>
          <w:sz w:val="30"/>
          <w:szCs w:val="30"/>
        </w:rPr>
      </w:pPr>
      <w:r>
        <w:rPr>
          <w:rFonts w:hint="eastAsia" w:ascii="仿宋" w:hAnsi="仿宋" w:eastAsia="仿宋" w:cs="仿宋"/>
          <w:kern w:val="0"/>
          <w:sz w:val="30"/>
          <w:szCs w:val="30"/>
        </w:rPr>
        <w:t>4.执行国家课程（课时）计划，开齐课程，开足课时，全面推进素质教育。</w:t>
      </w:r>
    </w:p>
    <w:p>
      <w:pPr>
        <w:widowControl/>
        <w:shd w:val="clear" w:color="auto" w:fill="FFFFFF"/>
        <w:spacing w:line="471" w:lineRule="atLeast"/>
        <w:ind w:firstLine="600" w:firstLineChars="200"/>
        <w:jc w:val="left"/>
        <w:rPr>
          <w:rFonts w:hint="eastAsia" w:ascii="仿宋" w:hAnsi="仿宋" w:eastAsia="仿宋" w:cs="仿宋"/>
          <w:kern w:val="0"/>
          <w:sz w:val="30"/>
          <w:szCs w:val="30"/>
        </w:rPr>
      </w:pPr>
      <w:r>
        <w:rPr>
          <w:rFonts w:hint="eastAsia" w:ascii="仿宋" w:hAnsi="仿宋" w:eastAsia="仿宋" w:cs="仿宋"/>
          <w:kern w:val="0"/>
          <w:sz w:val="30"/>
          <w:szCs w:val="30"/>
        </w:rPr>
        <w:t>5.负责对学校教育和教学工作的业务指导、检查、评价，提高教育教学质量。</w:t>
      </w:r>
    </w:p>
    <w:p>
      <w:pPr>
        <w:widowControl/>
        <w:shd w:val="clear" w:color="auto" w:fill="FFFFFF"/>
        <w:spacing w:line="471" w:lineRule="atLeast"/>
        <w:ind w:firstLine="600" w:firstLineChars="200"/>
        <w:jc w:val="left"/>
        <w:rPr>
          <w:rFonts w:hint="eastAsia" w:ascii="仿宋" w:hAnsi="仿宋" w:eastAsia="仿宋" w:cs="仿宋"/>
          <w:kern w:val="0"/>
          <w:sz w:val="30"/>
          <w:szCs w:val="30"/>
        </w:rPr>
      </w:pPr>
      <w:r>
        <w:rPr>
          <w:rFonts w:hint="eastAsia" w:ascii="仿宋" w:hAnsi="仿宋" w:eastAsia="仿宋" w:cs="仿宋"/>
          <w:kern w:val="0"/>
          <w:sz w:val="30"/>
          <w:szCs w:val="30"/>
        </w:rPr>
        <w:t>6.开展教育教学改革，促进学校发展。</w:t>
      </w:r>
    </w:p>
    <w:p>
      <w:pPr>
        <w:ind w:left="640"/>
        <w:rPr>
          <w:rFonts w:ascii="黑体" w:hAnsi="黑体" w:eastAsia="黑体" w:cs="黑体"/>
          <w:sz w:val="32"/>
          <w:szCs w:val="32"/>
        </w:rPr>
      </w:pPr>
    </w:p>
    <w:p>
      <w:pPr>
        <w:rPr>
          <w:rFonts w:ascii="黑体" w:hAnsi="黑体" w:eastAsia="黑体" w:cs="黑体"/>
          <w:sz w:val="32"/>
          <w:szCs w:val="32"/>
        </w:rPr>
      </w:pPr>
      <w:r>
        <w:rPr>
          <w:rFonts w:hint="eastAsia" w:ascii="黑体" w:hAnsi="黑体" w:eastAsia="黑体" w:cs="黑体"/>
          <w:sz w:val="32"/>
          <w:szCs w:val="32"/>
        </w:rPr>
        <w:t xml:space="preserve">    二、机构设置</w:t>
      </w:r>
    </w:p>
    <w:p>
      <w:pPr>
        <w:spacing w:line="288" w:lineRule="auto"/>
        <w:ind w:firstLine="643" w:firstLineChars="200"/>
        <w:rPr>
          <w:rFonts w:asciiTheme="minorEastAsia" w:hAnsiTheme="minorEastAsia"/>
          <w:b/>
          <w:sz w:val="32"/>
          <w:szCs w:val="32"/>
        </w:rPr>
      </w:pPr>
      <w:r>
        <w:rPr>
          <w:rFonts w:hint="eastAsia" w:asciiTheme="minorEastAsia" w:hAnsiTheme="minorEastAsia"/>
          <w:b/>
          <w:sz w:val="32"/>
          <w:szCs w:val="32"/>
        </w:rPr>
        <w:t>（一）部门机构设置、职能</w:t>
      </w:r>
    </w:p>
    <w:p>
      <w:pPr>
        <w:spacing w:line="288" w:lineRule="auto"/>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本部门无下属单位，部门预算为本级预算。</w:t>
      </w:r>
      <w:r>
        <w:rPr>
          <w:rFonts w:hint="eastAsia" w:ascii="仿宋" w:hAnsi="仿宋" w:eastAsia="仿宋" w:cs="仿宋"/>
          <w:sz w:val="32"/>
          <w:szCs w:val="32"/>
        </w:rPr>
        <w:t>蕉岭县城东学校是隶属蕉岭县教育局管理的事业单位，内设教务处、政教处、办公室、总务处四个处室。各部门互相协调，为教育教学服务。</w:t>
      </w:r>
    </w:p>
    <w:p>
      <w:pPr>
        <w:spacing w:line="288" w:lineRule="auto"/>
        <w:ind w:firstLine="643" w:firstLineChars="200"/>
        <w:rPr>
          <w:rFonts w:asciiTheme="minorEastAsia" w:hAnsiTheme="minorEastAsia"/>
          <w:b/>
          <w:sz w:val="32"/>
          <w:szCs w:val="32"/>
        </w:rPr>
      </w:pPr>
      <w:r>
        <w:rPr>
          <w:rFonts w:hint="eastAsia" w:asciiTheme="minorEastAsia" w:hAnsiTheme="minorEastAsia"/>
          <w:b/>
          <w:sz w:val="32"/>
          <w:szCs w:val="32"/>
        </w:rPr>
        <w:t>（二）人员构成情况</w:t>
      </w:r>
    </w:p>
    <w:p>
      <w:pPr>
        <w:spacing w:line="288" w:lineRule="auto"/>
        <w:ind w:firstLine="640" w:firstLineChars="200"/>
        <w:rPr>
          <w:rFonts w:hint="eastAsia" w:ascii="仿宋" w:hAnsi="仿宋" w:eastAsia="仿宋" w:cs="仿宋"/>
          <w:sz w:val="32"/>
          <w:szCs w:val="32"/>
        </w:rPr>
      </w:pPr>
      <w:r>
        <w:rPr>
          <w:rFonts w:hint="eastAsia" w:ascii="仿宋" w:hAnsi="仿宋" w:eastAsia="仿宋" w:cs="仿宋"/>
          <w:sz w:val="32"/>
          <w:szCs w:val="32"/>
        </w:rPr>
        <w:t>我校现有教学班29个，学生人数1268人，共有教职工73人，退休人员9人。</w:t>
      </w:r>
    </w:p>
    <w:p>
      <w:pPr>
        <w:spacing w:line="288" w:lineRule="auto"/>
        <w:ind w:firstLine="643" w:firstLineChars="200"/>
        <w:rPr>
          <w:rFonts w:asciiTheme="minorEastAsia" w:hAnsiTheme="minorEastAsia"/>
          <w:b/>
          <w:sz w:val="32"/>
          <w:szCs w:val="32"/>
        </w:rPr>
      </w:pPr>
      <w:r>
        <w:rPr>
          <w:rFonts w:hint="eastAsia" w:asciiTheme="minorEastAsia" w:hAnsiTheme="minorEastAsia"/>
          <w:b/>
          <w:sz w:val="32"/>
          <w:szCs w:val="32"/>
        </w:rPr>
        <w:t>（三）预算年度的主要工作任务</w:t>
      </w:r>
    </w:p>
    <w:p>
      <w:pPr>
        <w:spacing w:line="288" w:lineRule="auto"/>
        <w:ind w:firstLine="640" w:firstLineChars="200"/>
        <w:rPr>
          <w:rFonts w:hint="eastAsia" w:ascii="仿宋" w:hAnsi="仿宋" w:eastAsia="仿宋" w:cs="仿宋"/>
          <w:sz w:val="32"/>
          <w:szCs w:val="32"/>
        </w:rPr>
      </w:pPr>
      <w:r>
        <w:rPr>
          <w:rFonts w:hint="eastAsia" w:ascii="仿宋" w:hAnsi="仿宋" w:eastAsia="仿宋" w:cs="仿宋"/>
          <w:sz w:val="32"/>
          <w:szCs w:val="32"/>
        </w:rPr>
        <w:t>我校2016年财政支出计划总的编制原则是量入为出，按照“保工资、保运转、保民生、保稳定、促发展”的要求安排，确保教育教学的顺利进行，为提高教育教学质量提供保障，促进了义务教育阶段和高中教育阶段顺利实施。</w:t>
      </w:r>
    </w:p>
    <w:p>
      <w:pPr>
        <w:rPr>
          <w:rFonts w:ascii="黑体" w:hAnsi="黑体" w:eastAsia="黑体" w:cs="黑体"/>
          <w:sz w:val="44"/>
          <w:szCs w:val="44"/>
        </w:rPr>
        <w:sectPr>
          <w:pgSz w:w="11906" w:h="16838"/>
          <w:pgMar w:top="1440" w:right="1800" w:bottom="1440" w:left="1800" w:header="851" w:footer="992" w:gutter="0"/>
          <w:cols w:space="425" w:num="1"/>
          <w:docGrid w:type="lines" w:linePitch="312" w:charSpace="0"/>
        </w:sect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第二部分  2016年部门预算表</w:t>
      </w:r>
    </w:p>
    <w:p>
      <w:pPr>
        <w:spacing w:line="288" w:lineRule="auto"/>
        <w:ind w:firstLine="800" w:firstLineChars="250"/>
        <w:rPr>
          <w:rFonts w:asciiTheme="minorEastAsia" w:hAnsiTheme="minorEastAsia"/>
          <w:sz w:val="32"/>
          <w:szCs w:val="32"/>
        </w:rPr>
      </w:pPr>
      <w:r>
        <w:rPr>
          <w:rFonts w:hint="eastAsia" w:asciiTheme="minorEastAsia" w:hAnsiTheme="minorEastAsia"/>
          <w:sz w:val="32"/>
          <w:szCs w:val="32"/>
        </w:rPr>
        <w:t>详见：蕉岭县城东学校2016年度部门预算公开情况表（公开01表-公开11表）</w:t>
      </w:r>
    </w:p>
    <w:p>
      <w:pPr>
        <w:ind w:firstLine="1155" w:firstLineChars="550"/>
      </w:pPr>
    </w:p>
    <w:p>
      <w:pPr>
        <w:ind w:firstLine="1100" w:firstLineChars="25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br w:type="page"/>
      </w:r>
    </w:p>
    <w:p>
      <w:pPr>
        <w:ind w:firstLine="1100" w:firstLineChars="250"/>
      </w:pPr>
      <w:r>
        <w:rPr>
          <w:rFonts w:hint="eastAsia" w:ascii="方正小标宋简体" w:hAnsi="方正小标宋简体" w:eastAsia="方正小标宋简体" w:cs="方正小标宋简体"/>
          <w:sz w:val="44"/>
          <w:szCs w:val="44"/>
        </w:rPr>
        <w:t>第三部分  2016年部门预算情况说明</w:t>
      </w:r>
    </w:p>
    <w:p>
      <w:pPr>
        <w:numPr>
          <w:ilvl w:val="0"/>
          <w:numId w:val="3"/>
        </w:numPr>
        <w:ind w:firstLine="640" w:firstLineChars="200"/>
        <w:rPr>
          <w:rFonts w:ascii="黑体" w:hAnsi="黑体" w:eastAsia="黑体" w:cs="黑体"/>
          <w:sz w:val="32"/>
          <w:szCs w:val="32"/>
        </w:rPr>
      </w:pPr>
      <w:r>
        <w:rPr>
          <w:rFonts w:hint="eastAsia" w:ascii="黑体" w:hAnsi="黑体" w:eastAsia="黑体" w:cs="黑体"/>
          <w:sz w:val="32"/>
          <w:szCs w:val="32"/>
        </w:rPr>
        <w:t>部门预算收支增减变化情况</w:t>
      </w:r>
    </w:p>
    <w:p>
      <w:pPr>
        <w:ind w:firstLine="640"/>
        <w:rPr>
          <w:rFonts w:ascii="黑体" w:hAnsi="黑体" w:eastAsia="黑体" w:cs="黑体"/>
          <w:sz w:val="32"/>
          <w:szCs w:val="32"/>
        </w:rPr>
      </w:pPr>
      <w:r>
        <w:rPr>
          <w:rFonts w:hint="eastAsia" w:ascii="仿宋_GB2312" w:hAnsi="仿宋_GB2312" w:eastAsia="仿宋_GB2312" w:cs="仿宋_GB2312"/>
          <w:sz w:val="32"/>
          <w:szCs w:val="32"/>
        </w:rPr>
        <w:t>2016年本部门收入预算664.1万元，比上年增加261.82万元，增长65.08%，主要原因是人员经费收入增加；支出预算664.1万元，比上年增加261.82万元，增长65.08%，主要原因是人员经费支出增加。</w:t>
      </w:r>
    </w:p>
    <w:p>
      <w:pPr>
        <w:widowControl/>
        <w:shd w:val="clear" w:color="auto" w:fill="FFFFFF"/>
        <w:spacing w:line="471" w:lineRule="atLeast"/>
        <w:ind w:firstLine="640" w:firstLineChars="200"/>
        <w:jc w:val="left"/>
        <w:rPr>
          <w:rFonts w:hint="eastAsia" w:ascii="黑体" w:hAnsi="黑体" w:eastAsia="黑体" w:cs="黑体"/>
          <w:sz w:val="32"/>
          <w:szCs w:val="32"/>
        </w:rPr>
      </w:pPr>
      <w:r>
        <w:rPr>
          <w:rFonts w:hint="eastAsia" w:ascii="黑体" w:hAnsi="黑体" w:eastAsia="黑体" w:cs="黑体"/>
          <w:sz w:val="32"/>
          <w:szCs w:val="32"/>
        </w:rPr>
        <w:t>二、“三公”经费安排情况说明</w:t>
      </w:r>
    </w:p>
    <w:p>
      <w:pPr>
        <w:widowControl/>
        <w:shd w:val="clear" w:color="auto" w:fill="FFFFFF"/>
        <w:spacing w:line="471" w:lineRule="atLeast"/>
        <w:ind w:firstLine="600" w:firstLineChars="200"/>
        <w:jc w:val="left"/>
        <w:rPr>
          <w:rFonts w:hint="eastAsia" w:ascii="仿宋" w:hAnsi="仿宋" w:eastAsia="仿宋" w:cs="仿宋"/>
          <w:kern w:val="0"/>
          <w:sz w:val="30"/>
          <w:szCs w:val="30"/>
        </w:rPr>
      </w:pPr>
      <w:r>
        <w:rPr>
          <w:rFonts w:hint="eastAsia" w:ascii="仿宋" w:hAnsi="仿宋" w:eastAsia="仿宋" w:cs="仿宋"/>
          <w:kern w:val="0"/>
          <w:sz w:val="30"/>
          <w:szCs w:val="30"/>
        </w:rPr>
        <w:t>2016年“三公”经费财政拨款预算数0万元，其中：因公出国（境）经费0万元，公务接待费0万元，公务用车购置及运行维护费0万元（公务用车购置费0万元，公务用车运行维护费0万元）。</w:t>
      </w:r>
    </w:p>
    <w:p>
      <w:pPr>
        <w:widowControl/>
        <w:shd w:val="clear" w:color="auto" w:fill="FFFFFF"/>
        <w:spacing w:line="620" w:lineRule="atLeast"/>
        <w:ind w:firstLine="640"/>
        <w:jc w:val="left"/>
        <w:rPr>
          <w:rFonts w:cs="宋体" w:asciiTheme="majorEastAsia" w:hAnsiTheme="majorEastAsia" w:eastAsiaTheme="majorEastAsia"/>
          <w:kern w:val="0"/>
          <w:sz w:val="30"/>
          <w:szCs w:val="30"/>
        </w:rPr>
      </w:pPr>
      <w:r>
        <w:rPr>
          <w:rFonts w:hint="eastAsia" w:cs="宋体" w:asciiTheme="majorEastAsia" w:hAnsiTheme="majorEastAsia" w:eastAsiaTheme="majorEastAsia"/>
          <w:b/>
          <w:bCs/>
          <w:kern w:val="0"/>
          <w:sz w:val="30"/>
          <w:szCs w:val="30"/>
        </w:rPr>
        <w:t>（一）因公出国（境）经费</w:t>
      </w:r>
    </w:p>
    <w:p>
      <w:pPr>
        <w:widowControl/>
        <w:shd w:val="clear" w:color="auto" w:fill="FFFFFF"/>
        <w:spacing w:line="620" w:lineRule="atLeast"/>
        <w:ind w:firstLine="640"/>
        <w:jc w:val="left"/>
        <w:rPr>
          <w:rFonts w:cs="宋体" w:asciiTheme="majorEastAsia" w:hAnsiTheme="majorEastAsia" w:eastAsiaTheme="majorEastAsia"/>
          <w:kern w:val="0"/>
          <w:sz w:val="30"/>
          <w:szCs w:val="30"/>
        </w:rPr>
      </w:pPr>
      <w:r>
        <w:rPr>
          <w:rFonts w:hint="eastAsia" w:ascii="仿宋" w:hAnsi="仿宋" w:eastAsia="仿宋" w:cs="仿宋"/>
          <w:kern w:val="0"/>
          <w:sz w:val="30"/>
          <w:szCs w:val="30"/>
        </w:rPr>
        <w:t>2016无出国（境）经费预算,与2015年预算持平</w:t>
      </w:r>
      <w:r>
        <w:rPr>
          <w:rFonts w:hint="eastAsia" w:cs="宋体" w:asciiTheme="majorEastAsia" w:hAnsiTheme="majorEastAsia" w:eastAsiaTheme="majorEastAsia"/>
          <w:kern w:val="0"/>
          <w:sz w:val="30"/>
          <w:szCs w:val="30"/>
        </w:rPr>
        <w:t>。</w:t>
      </w:r>
    </w:p>
    <w:p>
      <w:pPr>
        <w:widowControl/>
        <w:shd w:val="clear" w:color="auto" w:fill="FFFFFF"/>
        <w:spacing w:line="620" w:lineRule="atLeast"/>
        <w:ind w:firstLine="640"/>
        <w:jc w:val="left"/>
        <w:rPr>
          <w:rFonts w:cs="宋体" w:asciiTheme="majorEastAsia" w:hAnsiTheme="majorEastAsia" w:eastAsiaTheme="majorEastAsia"/>
          <w:kern w:val="0"/>
          <w:sz w:val="30"/>
          <w:szCs w:val="30"/>
        </w:rPr>
      </w:pPr>
      <w:r>
        <w:rPr>
          <w:rFonts w:hint="eastAsia" w:cs="宋体" w:asciiTheme="majorEastAsia" w:hAnsiTheme="majorEastAsia" w:eastAsiaTheme="majorEastAsia"/>
          <w:b/>
          <w:bCs/>
          <w:kern w:val="0"/>
          <w:sz w:val="30"/>
          <w:szCs w:val="30"/>
        </w:rPr>
        <w:t>（二）公务接待费</w:t>
      </w:r>
    </w:p>
    <w:p>
      <w:pPr>
        <w:widowControl/>
        <w:shd w:val="clear" w:color="auto" w:fill="FFFFFF"/>
        <w:spacing w:line="620" w:lineRule="atLeast"/>
        <w:ind w:firstLine="640"/>
        <w:jc w:val="left"/>
        <w:rPr>
          <w:rFonts w:hint="eastAsia" w:ascii="仿宋" w:hAnsi="仿宋" w:eastAsia="仿宋" w:cs="仿宋"/>
          <w:kern w:val="0"/>
          <w:sz w:val="30"/>
          <w:szCs w:val="30"/>
        </w:rPr>
      </w:pPr>
      <w:r>
        <w:rPr>
          <w:rFonts w:hint="eastAsia" w:ascii="仿宋" w:hAnsi="仿宋" w:eastAsia="仿宋" w:cs="仿宋"/>
          <w:kern w:val="0"/>
          <w:sz w:val="30"/>
          <w:szCs w:val="30"/>
        </w:rPr>
        <w:t>2016年安排公务接待费预算0万元.较2015年预算下降100%。</w:t>
      </w:r>
    </w:p>
    <w:p>
      <w:pPr>
        <w:widowControl/>
        <w:shd w:val="clear" w:color="auto" w:fill="FFFFFF"/>
        <w:spacing w:line="579" w:lineRule="atLeast"/>
        <w:ind w:firstLine="640"/>
        <w:jc w:val="left"/>
        <w:rPr>
          <w:rFonts w:cs="宋体" w:asciiTheme="majorEastAsia" w:hAnsiTheme="majorEastAsia" w:eastAsiaTheme="majorEastAsia"/>
          <w:kern w:val="0"/>
          <w:sz w:val="30"/>
          <w:szCs w:val="30"/>
        </w:rPr>
      </w:pPr>
      <w:r>
        <w:rPr>
          <w:rFonts w:hint="eastAsia" w:cs="宋体" w:asciiTheme="majorEastAsia" w:hAnsiTheme="majorEastAsia" w:eastAsiaTheme="majorEastAsia"/>
          <w:b/>
          <w:bCs/>
          <w:kern w:val="0"/>
          <w:sz w:val="30"/>
          <w:szCs w:val="30"/>
        </w:rPr>
        <w:t>（三）公务用车购置及运行维护费</w:t>
      </w:r>
    </w:p>
    <w:p>
      <w:pPr>
        <w:widowControl/>
        <w:shd w:val="clear" w:color="auto" w:fill="FFFFFF"/>
        <w:spacing w:line="620" w:lineRule="atLeast"/>
        <w:ind w:firstLine="640"/>
        <w:jc w:val="left"/>
        <w:rPr>
          <w:rFonts w:hint="eastAsia" w:ascii="仿宋" w:hAnsi="仿宋" w:eastAsia="仿宋" w:cs="仿宋"/>
          <w:kern w:val="0"/>
          <w:sz w:val="30"/>
          <w:szCs w:val="30"/>
        </w:rPr>
      </w:pPr>
      <w:r>
        <w:rPr>
          <w:rFonts w:hint="eastAsia" w:ascii="仿宋" w:hAnsi="仿宋" w:eastAsia="仿宋" w:cs="仿宋"/>
          <w:kern w:val="0"/>
          <w:sz w:val="30"/>
          <w:szCs w:val="30"/>
        </w:rPr>
        <w:t>学校未购置车辆,故无此项费用。</w:t>
      </w:r>
    </w:p>
    <w:p>
      <w:pPr>
        <w:pStyle w:val="8"/>
        <w:numPr>
          <w:ilvl w:val="0"/>
          <w:numId w:val="4"/>
        </w:numPr>
        <w:ind w:firstLineChars="0"/>
        <w:rPr>
          <w:rFonts w:ascii="黑体" w:hAnsi="黑体" w:eastAsia="黑体" w:cs="黑体"/>
          <w:sz w:val="32"/>
          <w:szCs w:val="32"/>
        </w:rPr>
      </w:pPr>
      <w:r>
        <w:rPr>
          <w:rFonts w:hint="eastAsia" w:ascii="黑体" w:hAnsi="黑体" w:eastAsia="黑体" w:cs="黑体"/>
          <w:sz w:val="32"/>
          <w:szCs w:val="32"/>
        </w:rPr>
        <w:t>机关运行经费安排情况</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2016年，本部门没有此项机关运行经费安排</w:t>
      </w:r>
    </w:p>
    <w:p>
      <w:pPr>
        <w:ind w:firstLine="640" w:firstLineChars="200"/>
        <w:rPr>
          <w:rFonts w:ascii="黑体" w:hAnsi="黑体" w:eastAsia="黑体" w:cs="黑体"/>
          <w:sz w:val="32"/>
          <w:szCs w:val="32"/>
        </w:rPr>
      </w:pPr>
      <w:r>
        <w:rPr>
          <w:rFonts w:hint="eastAsia" w:ascii="黑体" w:hAnsi="黑体" w:eastAsia="黑体" w:cs="黑体"/>
          <w:sz w:val="32"/>
          <w:szCs w:val="32"/>
        </w:rPr>
        <w:t>四、政府采购情况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2016年本部门没有此项政府采购安排</w:t>
      </w:r>
    </w:p>
    <w:p>
      <w:pPr>
        <w:ind w:firstLine="800" w:firstLineChars="250"/>
        <w:rPr>
          <w:rFonts w:ascii="黑体" w:hAnsi="黑体" w:eastAsia="黑体" w:cs="黑体"/>
          <w:sz w:val="32"/>
          <w:szCs w:val="32"/>
        </w:rPr>
      </w:pPr>
      <w:r>
        <w:rPr>
          <w:rFonts w:hint="eastAsia" w:ascii="黑体" w:hAnsi="黑体" w:eastAsia="黑体" w:cs="黑体"/>
          <w:sz w:val="32"/>
          <w:szCs w:val="32"/>
        </w:rPr>
        <w:t>五、国有资产占有使用情况</w:t>
      </w:r>
    </w:p>
    <w:p>
      <w:pPr>
        <w:ind w:firstLine="640"/>
        <w:rPr>
          <w:rFonts w:hint="eastAsia" w:ascii="楷体_GB2312" w:hAnsi="楷体_GB2312" w:eastAsia="楷体_GB2312" w:cs="楷体_GB2312"/>
          <w:sz w:val="32"/>
          <w:szCs w:val="32"/>
        </w:rPr>
      </w:pPr>
      <w:r>
        <w:rPr>
          <w:rFonts w:hint="eastAsia" w:ascii="仿宋_GB2312" w:hAnsi="仿宋_GB2312" w:eastAsia="仿宋_GB2312" w:cs="仿宋_GB2312"/>
          <w:sz w:val="32"/>
          <w:szCs w:val="32"/>
        </w:rPr>
        <w:t>截至2017年1月1日，共有房屋7724平方米，其中：办公用房2724平方米，其他5000平方米；（二）单价在20万元以上的设备0（台、套）；（三）车辆0辆。</w:t>
      </w:r>
    </w:p>
    <w:p>
      <w:pPr>
        <w:ind w:firstLine="640"/>
        <w:rPr>
          <w:rFonts w:ascii="黑体" w:hAnsi="黑体" w:eastAsia="黑体" w:cs="黑体"/>
          <w:sz w:val="32"/>
          <w:szCs w:val="32"/>
        </w:rPr>
      </w:pPr>
      <w:r>
        <w:rPr>
          <w:rFonts w:hint="eastAsia" w:ascii="黑体" w:hAnsi="黑体" w:eastAsia="黑体" w:cs="黑体"/>
          <w:sz w:val="32"/>
          <w:szCs w:val="32"/>
        </w:rPr>
        <w:t>六、预算绩效信息公开情况</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2016年，本部门未开展预算绩效信息公开的有关工作。</w:t>
      </w:r>
    </w:p>
    <w:p>
      <w:pPr>
        <w:spacing w:line="288" w:lineRule="auto"/>
        <w:ind w:firstLine="600" w:firstLineChars="200"/>
        <w:rPr>
          <w:rFonts w:hint="eastAsia" w:cs="宋体" w:asciiTheme="majorEastAsia" w:hAnsiTheme="majorEastAsia" w:eastAsiaTheme="majorEastAsia"/>
          <w:kern w:val="0"/>
          <w:sz w:val="30"/>
          <w:szCs w:val="30"/>
        </w:rPr>
      </w:pPr>
    </w:p>
    <w:p>
      <w:pPr>
        <w:spacing w:line="288" w:lineRule="auto"/>
        <w:ind w:firstLine="643" w:firstLineChars="200"/>
        <w:jc w:val="center"/>
        <w:rPr>
          <w:rFonts w:hint="eastAsia" w:asciiTheme="minorEastAsia" w:hAnsiTheme="minorEastAsia"/>
          <w:b/>
          <w:sz w:val="32"/>
          <w:szCs w:val="32"/>
        </w:rPr>
      </w:pPr>
      <w:r>
        <w:rPr>
          <w:rFonts w:hint="eastAsia" w:asciiTheme="minorEastAsia" w:hAnsiTheme="minorEastAsia"/>
          <w:b/>
          <w:sz w:val="32"/>
          <w:szCs w:val="32"/>
        </w:rPr>
        <w:br w:type="page"/>
      </w:r>
    </w:p>
    <w:p>
      <w:pPr>
        <w:spacing w:line="288" w:lineRule="auto"/>
        <w:ind w:firstLine="643" w:firstLineChars="200"/>
        <w:jc w:val="center"/>
        <w:rPr>
          <w:rFonts w:asciiTheme="minorEastAsia" w:hAnsiTheme="minorEastAsia"/>
          <w:b/>
          <w:sz w:val="32"/>
          <w:szCs w:val="32"/>
        </w:rPr>
      </w:pPr>
      <w:r>
        <w:rPr>
          <w:rFonts w:hint="eastAsia" w:asciiTheme="minorEastAsia" w:hAnsiTheme="minorEastAsia"/>
          <w:b/>
          <w:sz w:val="32"/>
          <w:szCs w:val="32"/>
        </w:rPr>
        <w:t>第四部分  名词解释</w:t>
      </w:r>
    </w:p>
    <w:p>
      <w:pPr>
        <w:numPr>
          <w:ilvl w:val="0"/>
          <w:numId w:val="5"/>
        </w:numPr>
        <w:spacing w:line="288" w:lineRule="auto"/>
        <w:ind w:firstLine="630" w:firstLineChars="196"/>
        <w:rPr>
          <w:rFonts w:hint="eastAsia" w:ascii="仿宋" w:hAnsi="仿宋" w:eastAsia="仿宋" w:cs="仿宋"/>
          <w:kern w:val="0"/>
          <w:sz w:val="30"/>
          <w:szCs w:val="30"/>
        </w:rPr>
      </w:pPr>
      <w:r>
        <w:rPr>
          <w:rFonts w:hint="eastAsia" w:ascii="仿宋" w:hAnsi="仿宋" w:eastAsia="仿宋" w:cs="仿宋"/>
          <w:b/>
          <w:sz w:val="32"/>
          <w:szCs w:val="32"/>
        </w:rPr>
        <w:t>财政拨款收入</w:t>
      </w:r>
      <w:r>
        <w:rPr>
          <w:rFonts w:hint="eastAsia" w:ascii="仿宋" w:hAnsi="仿宋" w:eastAsia="仿宋" w:cs="仿宋"/>
          <w:kern w:val="0"/>
          <w:sz w:val="30"/>
          <w:szCs w:val="30"/>
        </w:rPr>
        <w:t>：指财政当年拨付的资金事业收入。</w:t>
      </w:r>
    </w:p>
    <w:p>
      <w:pPr>
        <w:spacing w:line="288" w:lineRule="auto"/>
        <w:ind w:left="1" w:firstLine="588" w:firstLineChars="196"/>
        <w:rPr>
          <w:rFonts w:hint="eastAsia" w:ascii="仿宋" w:hAnsi="仿宋" w:eastAsia="仿宋" w:cs="仿宋"/>
          <w:kern w:val="0"/>
          <w:sz w:val="30"/>
          <w:szCs w:val="30"/>
        </w:rPr>
      </w:pPr>
      <w:r>
        <w:rPr>
          <w:rFonts w:hint="eastAsia" w:ascii="仿宋" w:hAnsi="仿宋" w:eastAsia="仿宋" w:cs="仿宋"/>
          <w:kern w:val="0"/>
          <w:sz w:val="30"/>
          <w:szCs w:val="30"/>
        </w:rPr>
        <w:t>二、</w:t>
      </w:r>
      <w:r>
        <w:rPr>
          <w:rFonts w:hint="eastAsia" w:ascii="仿宋" w:hAnsi="仿宋" w:eastAsia="仿宋" w:cs="仿宋"/>
          <w:b/>
          <w:sz w:val="32"/>
          <w:szCs w:val="32"/>
        </w:rPr>
        <w:t>事业收入</w:t>
      </w:r>
      <w:r>
        <w:rPr>
          <w:rFonts w:hint="eastAsia" w:ascii="仿宋" w:hAnsi="仿宋" w:eastAsia="仿宋" w:cs="仿宋"/>
          <w:kern w:val="0"/>
          <w:sz w:val="30"/>
          <w:szCs w:val="30"/>
        </w:rPr>
        <w:t>：指事业单位开展专业业务活动及辅动所取得的收入。</w:t>
      </w:r>
    </w:p>
    <w:p>
      <w:pPr>
        <w:spacing w:line="288" w:lineRule="auto"/>
        <w:ind w:left="1" w:firstLine="588" w:firstLineChars="196"/>
        <w:rPr>
          <w:rFonts w:hint="eastAsia" w:ascii="仿宋" w:hAnsi="仿宋" w:eastAsia="仿宋" w:cs="仿宋"/>
          <w:kern w:val="0"/>
          <w:sz w:val="30"/>
          <w:szCs w:val="30"/>
        </w:rPr>
      </w:pPr>
      <w:r>
        <w:rPr>
          <w:rFonts w:hint="eastAsia" w:ascii="仿宋" w:hAnsi="仿宋" w:eastAsia="仿宋" w:cs="仿宋"/>
          <w:kern w:val="0"/>
          <w:sz w:val="30"/>
          <w:szCs w:val="30"/>
        </w:rPr>
        <w:t>三、</w:t>
      </w:r>
      <w:r>
        <w:rPr>
          <w:rFonts w:hint="eastAsia" w:ascii="仿宋" w:hAnsi="仿宋" w:eastAsia="仿宋" w:cs="仿宋"/>
          <w:b/>
          <w:sz w:val="32"/>
          <w:szCs w:val="32"/>
        </w:rPr>
        <w:t>经营收入</w:t>
      </w:r>
      <w:r>
        <w:rPr>
          <w:rFonts w:hint="eastAsia" w:ascii="仿宋" w:hAnsi="仿宋" w:eastAsia="仿宋" w:cs="仿宋"/>
          <w:kern w:val="0"/>
          <w:sz w:val="30"/>
          <w:szCs w:val="30"/>
        </w:rPr>
        <w:t>：指事业单位在专业业务活动及其辅助活动之外开展非独立核算经营活动取得的收入。</w:t>
      </w:r>
    </w:p>
    <w:p>
      <w:pPr>
        <w:spacing w:line="288" w:lineRule="auto"/>
        <w:ind w:left="1" w:firstLine="588" w:firstLineChars="196"/>
        <w:rPr>
          <w:rFonts w:hint="eastAsia" w:ascii="仿宋" w:hAnsi="仿宋" w:eastAsia="仿宋" w:cs="仿宋"/>
          <w:kern w:val="0"/>
          <w:sz w:val="30"/>
          <w:szCs w:val="30"/>
        </w:rPr>
      </w:pPr>
      <w:r>
        <w:rPr>
          <w:rFonts w:hint="eastAsia" w:ascii="仿宋" w:hAnsi="仿宋" w:eastAsia="仿宋" w:cs="仿宋"/>
          <w:kern w:val="0"/>
          <w:sz w:val="30"/>
          <w:szCs w:val="30"/>
        </w:rPr>
        <w:t>四、</w:t>
      </w:r>
      <w:r>
        <w:rPr>
          <w:rFonts w:hint="eastAsia" w:ascii="仿宋" w:hAnsi="仿宋" w:eastAsia="仿宋" w:cs="仿宋"/>
          <w:b/>
          <w:sz w:val="32"/>
          <w:szCs w:val="32"/>
        </w:rPr>
        <w:t>其他收入</w:t>
      </w:r>
      <w:r>
        <w:rPr>
          <w:rFonts w:hint="eastAsia" w:ascii="仿宋" w:hAnsi="仿宋" w:eastAsia="仿宋" w:cs="仿宋"/>
          <w:kern w:val="0"/>
          <w:sz w:val="30"/>
          <w:szCs w:val="30"/>
        </w:rPr>
        <w:t>：指除上述“财政拨款收入”、“事业收入”、“经营收入”等以外的收入。主要是非本级财政拨款、存款利息收入、事业单位固定资产出租收入等。</w:t>
      </w:r>
    </w:p>
    <w:p>
      <w:pPr>
        <w:spacing w:line="288" w:lineRule="auto"/>
        <w:ind w:left="1" w:firstLine="588" w:firstLineChars="196"/>
        <w:rPr>
          <w:rFonts w:hint="eastAsia" w:ascii="仿宋" w:hAnsi="仿宋" w:eastAsia="仿宋" w:cs="仿宋"/>
          <w:kern w:val="0"/>
          <w:sz w:val="30"/>
          <w:szCs w:val="30"/>
        </w:rPr>
      </w:pPr>
      <w:r>
        <w:rPr>
          <w:rFonts w:hint="eastAsia" w:ascii="仿宋" w:hAnsi="仿宋" w:eastAsia="仿宋" w:cs="仿宋"/>
          <w:kern w:val="0"/>
          <w:sz w:val="30"/>
          <w:szCs w:val="30"/>
        </w:rPr>
        <w:t>五、</w:t>
      </w:r>
      <w:r>
        <w:rPr>
          <w:rFonts w:hint="eastAsia" w:ascii="仿宋" w:hAnsi="仿宋" w:eastAsia="仿宋" w:cs="仿宋"/>
          <w:b/>
          <w:sz w:val="32"/>
          <w:szCs w:val="32"/>
        </w:rPr>
        <w:t>用事业基金弥补收支差额</w:t>
      </w:r>
      <w:r>
        <w:rPr>
          <w:rFonts w:hint="eastAsia" w:ascii="仿宋" w:hAnsi="仿宋" w:eastAsia="仿宋" w:cs="仿宋"/>
          <w:kern w:val="0"/>
          <w:sz w:val="30"/>
          <w:szCs w:val="30"/>
        </w:rPr>
        <w:t>：指事业单位在用当年的“财政拨款收入”、 “事业收入”、“经营收入”、“其他收入”不足以安排当年支出的情况下，使用以前年度积累的事业基金（事业单位当年收支相抵后按国家规定提取、用于弥补以后年度收支差额的基金）弥补本年度收支缺口的资金。</w:t>
      </w:r>
    </w:p>
    <w:p>
      <w:pPr>
        <w:spacing w:line="288" w:lineRule="auto"/>
        <w:ind w:left="1" w:firstLine="588" w:firstLineChars="196"/>
        <w:rPr>
          <w:rFonts w:hint="eastAsia" w:ascii="仿宋" w:hAnsi="仿宋" w:eastAsia="仿宋" w:cs="仿宋"/>
          <w:kern w:val="0"/>
          <w:sz w:val="30"/>
          <w:szCs w:val="30"/>
        </w:rPr>
      </w:pPr>
      <w:r>
        <w:rPr>
          <w:rFonts w:hint="eastAsia" w:ascii="仿宋" w:hAnsi="仿宋" w:eastAsia="仿宋" w:cs="仿宋"/>
          <w:kern w:val="0"/>
          <w:sz w:val="30"/>
          <w:szCs w:val="30"/>
        </w:rPr>
        <w:t>六、</w:t>
      </w:r>
      <w:r>
        <w:rPr>
          <w:rFonts w:hint="eastAsia" w:ascii="仿宋" w:hAnsi="仿宋" w:eastAsia="仿宋" w:cs="仿宋"/>
          <w:b/>
          <w:sz w:val="32"/>
          <w:szCs w:val="32"/>
        </w:rPr>
        <w:t>年初结转和结余</w:t>
      </w:r>
      <w:r>
        <w:rPr>
          <w:rFonts w:hint="eastAsia" w:ascii="仿宋" w:hAnsi="仿宋" w:eastAsia="仿宋" w:cs="仿宋"/>
          <w:kern w:val="0"/>
          <w:sz w:val="30"/>
          <w:szCs w:val="30"/>
        </w:rPr>
        <w:t>：指以前年度尚未完成、结转到本年按有关规定继续使用的资金。</w:t>
      </w:r>
    </w:p>
    <w:p>
      <w:pPr>
        <w:spacing w:line="288" w:lineRule="auto"/>
        <w:ind w:left="1" w:firstLine="588" w:firstLineChars="196"/>
        <w:rPr>
          <w:rFonts w:hint="eastAsia" w:ascii="仿宋" w:hAnsi="仿宋" w:eastAsia="仿宋" w:cs="仿宋"/>
          <w:kern w:val="0"/>
          <w:sz w:val="30"/>
          <w:szCs w:val="30"/>
        </w:rPr>
      </w:pPr>
      <w:r>
        <w:rPr>
          <w:rFonts w:hint="eastAsia" w:ascii="仿宋" w:hAnsi="仿宋" w:eastAsia="仿宋" w:cs="仿宋"/>
          <w:kern w:val="0"/>
          <w:sz w:val="30"/>
          <w:szCs w:val="30"/>
        </w:rPr>
        <w:t>七、</w:t>
      </w:r>
      <w:r>
        <w:rPr>
          <w:rFonts w:hint="eastAsia" w:ascii="仿宋" w:hAnsi="仿宋" w:eastAsia="仿宋" w:cs="仿宋"/>
          <w:b/>
          <w:sz w:val="32"/>
          <w:szCs w:val="32"/>
        </w:rPr>
        <w:t>结余分配</w:t>
      </w:r>
      <w:r>
        <w:rPr>
          <w:rFonts w:hint="eastAsia" w:ascii="仿宋" w:hAnsi="仿宋" w:eastAsia="仿宋" w:cs="仿宋"/>
          <w:kern w:val="0"/>
          <w:sz w:val="30"/>
          <w:szCs w:val="30"/>
        </w:rPr>
        <w:t>：指事业事位按规定提取的职工福利基金、事业基金和缴纳的所得税，以及建设单位按规定应交回的基本建设竣工项目结余资金。</w:t>
      </w:r>
    </w:p>
    <w:p>
      <w:pPr>
        <w:spacing w:line="288" w:lineRule="auto"/>
        <w:ind w:left="1" w:firstLine="588" w:firstLineChars="196"/>
        <w:rPr>
          <w:rFonts w:hint="eastAsia" w:ascii="仿宋" w:hAnsi="仿宋" w:eastAsia="仿宋" w:cs="仿宋"/>
          <w:kern w:val="0"/>
          <w:sz w:val="30"/>
          <w:szCs w:val="30"/>
        </w:rPr>
      </w:pPr>
      <w:r>
        <w:rPr>
          <w:rFonts w:hint="eastAsia" w:ascii="仿宋" w:hAnsi="仿宋" w:eastAsia="仿宋" w:cs="仿宋"/>
          <w:kern w:val="0"/>
          <w:sz w:val="30"/>
          <w:szCs w:val="30"/>
        </w:rPr>
        <w:t>八、</w:t>
      </w:r>
      <w:r>
        <w:rPr>
          <w:rFonts w:hint="eastAsia" w:ascii="仿宋" w:hAnsi="仿宋" w:eastAsia="仿宋" w:cs="仿宋"/>
          <w:b/>
          <w:sz w:val="32"/>
          <w:szCs w:val="32"/>
        </w:rPr>
        <w:t>年末结转和结余</w:t>
      </w:r>
      <w:r>
        <w:rPr>
          <w:rFonts w:hint="eastAsia" w:ascii="仿宋" w:hAnsi="仿宋" w:eastAsia="仿宋" w:cs="仿宋"/>
          <w:kern w:val="0"/>
          <w:sz w:val="30"/>
          <w:szCs w:val="30"/>
        </w:rPr>
        <w:t>：指本年度或以前年度预算安排、因客观条件发生变化无法按原计划实施，需要延迟到以后年度按有关规定继续使用的资金。</w:t>
      </w:r>
    </w:p>
    <w:p>
      <w:pPr>
        <w:spacing w:line="288" w:lineRule="auto"/>
        <w:ind w:left="1" w:firstLine="588" w:firstLineChars="196"/>
        <w:rPr>
          <w:rFonts w:hint="eastAsia" w:ascii="仿宋" w:hAnsi="仿宋" w:eastAsia="仿宋" w:cs="仿宋"/>
          <w:kern w:val="0"/>
          <w:sz w:val="30"/>
          <w:szCs w:val="30"/>
        </w:rPr>
      </w:pPr>
      <w:r>
        <w:rPr>
          <w:rFonts w:hint="eastAsia" w:ascii="仿宋" w:hAnsi="仿宋" w:eastAsia="仿宋" w:cs="仿宋"/>
          <w:kern w:val="0"/>
          <w:sz w:val="30"/>
          <w:szCs w:val="30"/>
        </w:rPr>
        <w:t>九</w:t>
      </w:r>
      <w:r>
        <w:rPr>
          <w:rFonts w:hint="eastAsia" w:ascii="仿宋" w:hAnsi="仿宋" w:eastAsia="仿宋" w:cs="仿宋"/>
          <w:b/>
          <w:sz w:val="32"/>
          <w:szCs w:val="32"/>
        </w:rPr>
        <w:t>、基本支出</w:t>
      </w:r>
      <w:r>
        <w:rPr>
          <w:rFonts w:hint="eastAsia" w:ascii="仿宋" w:hAnsi="仿宋" w:eastAsia="仿宋" w:cs="仿宋"/>
          <w:kern w:val="0"/>
          <w:sz w:val="30"/>
          <w:szCs w:val="30"/>
        </w:rPr>
        <w:t>：指为保障机构正常运转、完成日常工作任务面发生的人员支出和公用支出。</w:t>
      </w:r>
    </w:p>
    <w:p>
      <w:pPr>
        <w:spacing w:line="288" w:lineRule="auto"/>
        <w:ind w:left="1" w:firstLine="588" w:firstLineChars="196"/>
        <w:rPr>
          <w:rFonts w:hint="eastAsia" w:ascii="仿宋" w:hAnsi="仿宋" w:eastAsia="仿宋" w:cs="仿宋"/>
          <w:kern w:val="0"/>
          <w:sz w:val="30"/>
          <w:szCs w:val="30"/>
        </w:rPr>
      </w:pPr>
      <w:r>
        <w:rPr>
          <w:rFonts w:hint="eastAsia" w:ascii="仿宋" w:hAnsi="仿宋" w:eastAsia="仿宋" w:cs="仿宋"/>
          <w:kern w:val="0"/>
          <w:sz w:val="30"/>
          <w:szCs w:val="30"/>
        </w:rPr>
        <w:t>十、</w:t>
      </w:r>
      <w:r>
        <w:rPr>
          <w:rFonts w:hint="eastAsia" w:ascii="仿宋" w:hAnsi="仿宋" w:eastAsia="仿宋" w:cs="仿宋"/>
          <w:b/>
          <w:sz w:val="32"/>
          <w:szCs w:val="32"/>
        </w:rPr>
        <w:t>项目支出</w:t>
      </w:r>
      <w:r>
        <w:rPr>
          <w:rFonts w:hint="eastAsia" w:ascii="仿宋" w:hAnsi="仿宋" w:eastAsia="仿宋" w:cs="仿宋"/>
          <w:kern w:val="0"/>
          <w:sz w:val="30"/>
          <w:szCs w:val="30"/>
        </w:rPr>
        <w:t>：指在基本支出这外为完成特定行政任务和事业发展目标所发生的支出。</w:t>
      </w:r>
    </w:p>
    <w:p>
      <w:pPr>
        <w:spacing w:line="288" w:lineRule="auto"/>
        <w:ind w:left="1" w:firstLine="588" w:firstLineChars="196"/>
        <w:rPr>
          <w:rFonts w:hint="eastAsia" w:ascii="仿宋" w:hAnsi="仿宋" w:eastAsia="仿宋" w:cs="仿宋"/>
          <w:kern w:val="0"/>
          <w:sz w:val="30"/>
          <w:szCs w:val="30"/>
        </w:rPr>
      </w:pPr>
      <w:r>
        <w:rPr>
          <w:rFonts w:hint="eastAsia" w:ascii="仿宋" w:hAnsi="仿宋" w:eastAsia="仿宋" w:cs="仿宋"/>
          <w:kern w:val="0"/>
          <w:sz w:val="30"/>
          <w:szCs w:val="30"/>
        </w:rPr>
        <w:t>十一、</w:t>
      </w:r>
      <w:r>
        <w:rPr>
          <w:rFonts w:hint="eastAsia" w:ascii="仿宋" w:hAnsi="仿宋" w:eastAsia="仿宋" w:cs="仿宋"/>
          <w:b/>
          <w:sz w:val="32"/>
          <w:szCs w:val="32"/>
        </w:rPr>
        <w:t>经营支出</w:t>
      </w:r>
      <w:r>
        <w:rPr>
          <w:rFonts w:hint="eastAsia" w:ascii="仿宋" w:hAnsi="仿宋" w:eastAsia="仿宋" w:cs="仿宋"/>
          <w:kern w:val="0"/>
          <w:sz w:val="30"/>
          <w:szCs w:val="30"/>
        </w:rPr>
        <w:t>：指事业单位在专业业务活动及其辅助活动之外开展非独立核算经营活动所发生的支出。</w:t>
      </w:r>
    </w:p>
    <w:p>
      <w:pPr>
        <w:spacing w:line="288" w:lineRule="auto"/>
        <w:ind w:left="1" w:firstLine="588" w:firstLineChars="196"/>
        <w:rPr>
          <w:rFonts w:hint="eastAsia" w:ascii="仿宋" w:hAnsi="仿宋" w:eastAsia="仿宋" w:cs="仿宋"/>
          <w:kern w:val="0"/>
          <w:sz w:val="30"/>
          <w:szCs w:val="30"/>
        </w:rPr>
      </w:pPr>
      <w:r>
        <w:rPr>
          <w:rFonts w:hint="eastAsia" w:ascii="仿宋" w:hAnsi="仿宋" w:eastAsia="仿宋" w:cs="仿宋"/>
          <w:kern w:val="0"/>
          <w:sz w:val="30"/>
          <w:szCs w:val="30"/>
        </w:rPr>
        <w:t>十二、</w:t>
      </w:r>
      <w:r>
        <w:rPr>
          <w:rFonts w:hint="eastAsia" w:ascii="仿宋" w:hAnsi="仿宋" w:eastAsia="仿宋" w:cs="仿宋"/>
          <w:b/>
          <w:sz w:val="32"/>
          <w:szCs w:val="32"/>
        </w:rPr>
        <w:t>“三公”经费</w:t>
      </w:r>
      <w:r>
        <w:rPr>
          <w:rFonts w:hint="eastAsia" w:ascii="仿宋" w:hAnsi="仿宋" w:eastAsia="仿宋" w:cs="仿宋"/>
          <w:kern w:val="0"/>
          <w:sz w:val="30"/>
          <w:szCs w:val="30"/>
        </w:rPr>
        <w:t>：按照党中央、国务院有关文件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p>
      <w:pPr>
        <w:spacing w:line="288" w:lineRule="auto"/>
        <w:ind w:left="1" w:firstLine="588" w:firstLineChars="196"/>
        <w:rPr>
          <w:rFonts w:asciiTheme="minorEastAsia" w:hAnsiTheme="minorEastAsia"/>
          <w:sz w:val="44"/>
          <w:szCs w:val="44"/>
        </w:rPr>
      </w:pPr>
      <w:r>
        <w:rPr>
          <w:rFonts w:hint="eastAsia" w:ascii="仿宋" w:hAnsi="仿宋" w:eastAsia="仿宋" w:cs="仿宋"/>
          <w:kern w:val="0"/>
          <w:sz w:val="30"/>
          <w:szCs w:val="30"/>
        </w:rPr>
        <w:t>十三、</w:t>
      </w:r>
      <w:r>
        <w:rPr>
          <w:rFonts w:hint="eastAsia" w:ascii="仿宋" w:hAnsi="仿宋" w:eastAsia="仿宋" w:cs="仿宋"/>
          <w:b/>
          <w:sz w:val="32"/>
          <w:szCs w:val="32"/>
        </w:rPr>
        <w:t>机关运行经费</w:t>
      </w:r>
      <w:r>
        <w:rPr>
          <w:rFonts w:hint="eastAsia" w:ascii="仿宋" w:hAnsi="仿宋" w:eastAsia="仿宋" w:cs="仿宋"/>
          <w:kern w:val="0"/>
          <w:sz w:val="30"/>
          <w:szCs w:val="30"/>
        </w:rPr>
        <w:t>：指为保障行政单位（含参照公务员法管理的事业单位）运行用于购买货物和服务的各项资金，包括办公及印刷费、邮电费、差旅费、会议费、福利费、日常维修费、专项材料及一般设备购置费、办公用房水电费、取暖费、物业管理费、公务用车运行维护费以及其他费用。</w:t>
      </w: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142CF2"/>
    <w:multiLevelType w:val="multilevel"/>
    <w:tmpl w:val="2C142CF2"/>
    <w:lvl w:ilvl="0" w:tentative="0">
      <w:start w:val="3"/>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5A5F2250"/>
    <w:multiLevelType w:val="singleLevel"/>
    <w:tmpl w:val="5A5F2250"/>
    <w:lvl w:ilvl="0" w:tentative="0">
      <w:start w:val="1"/>
      <w:numFmt w:val="chineseCounting"/>
      <w:suff w:val="nothing"/>
      <w:lvlText w:val="%1、"/>
      <w:lvlJc w:val="left"/>
    </w:lvl>
  </w:abstractNum>
  <w:abstractNum w:abstractNumId="2">
    <w:nsid w:val="5A5F2384"/>
    <w:multiLevelType w:val="singleLevel"/>
    <w:tmpl w:val="5A5F2384"/>
    <w:lvl w:ilvl="0" w:tentative="0">
      <w:start w:val="1"/>
      <w:numFmt w:val="chineseCounting"/>
      <w:suff w:val="nothing"/>
      <w:lvlText w:val="%1、"/>
      <w:lvlJc w:val="left"/>
    </w:lvl>
  </w:abstractNum>
  <w:abstractNum w:abstractNumId="3">
    <w:nsid w:val="5A5F50C1"/>
    <w:multiLevelType w:val="singleLevel"/>
    <w:tmpl w:val="5A5F50C1"/>
    <w:lvl w:ilvl="0" w:tentative="0">
      <w:start w:val="1"/>
      <w:numFmt w:val="chineseCounting"/>
      <w:suff w:val="nothing"/>
      <w:lvlText w:val="%1、"/>
      <w:lvlJc w:val="left"/>
    </w:lvl>
  </w:abstractNum>
  <w:abstractNum w:abstractNumId="4">
    <w:nsid w:val="5A600927"/>
    <w:multiLevelType w:val="singleLevel"/>
    <w:tmpl w:val="5A600927"/>
    <w:lvl w:ilvl="0" w:tentative="0">
      <w:start w:val="1"/>
      <w:numFmt w:val="chineseCounting"/>
      <w:suff w:val="nothing"/>
      <w:lvlText w:val="%1、"/>
      <w:lvlJc w:val="left"/>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81D07C1"/>
    <w:rsid w:val="00072328"/>
    <w:rsid w:val="001B3801"/>
    <w:rsid w:val="001D7A06"/>
    <w:rsid w:val="00200FB7"/>
    <w:rsid w:val="002C6593"/>
    <w:rsid w:val="00307425"/>
    <w:rsid w:val="00397B26"/>
    <w:rsid w:val="005A7CDD"/>
    <w:rsid w:val="007D69F4"/>
    <w:rsid w:val="00837D72"/>
    <w:rsid w:val="00A32629"/>
    <w:rsid w:val="00DA7268"/>
    <w:rsid w:val="081D07C1"/>
    <w:rsid w:val="2F300128"/>
    <w:rsid w:val="63430FFE"/>
    <w:rsid w:val="658E0CA7"/>
    <w:rsid w:val="6D53502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0"/>
    <w:rPr>
      <w:kern w:val="2"/>
      <w:sz w:val="18"/>
      <w:szCs w:val="18"/>
    </w:rPr>
  </w:style>
  <w:style w:type="character" w:customStyle="1" w:styleId="7">
    <w:name w:val="页脚 Char"/>
    <w:basedOn w:val="4"/>
    <w:link w:val="2"/>
    <w:uiPriority w:val="0"/>
    <w:rPr>
      <w:kern w:val="2"/>
      <w:sz w:val="18"/>
      <w:szCs w:val="18"/>
    </w:rPr>
  </w:style>
  <w:style w:type="paragraph" w:styleId="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Chinese ORG</Company>
  <Pages>8</Pages>
  <Words>364</Words>
  <Characters>2080</Characters>
  <Lines>17</Lines>
  <Paragraphs>4</Paragraphs>
  <TotalTime>35</TotalTime>
  <ScaleCrop>false</ScaleCrop>
  <LinksUpToDate>false</LinksUpToDate>
  <CharactersWithSpaces>2440</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2018-03-29T08:03:00Z</dcterms:created>
  <dc:creator>小捣</dc:creator>
  <cp:lastModifiedBy>小捣</cp:lastModifiedBy>
  <cp:lastPrinted>2018-04-16T01:20:00Z</cp:lastPrinted>
  <dcterms:modified xsi:type="dcterms:W3CDTF">2018-05-23T09:52:29Z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