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22860" t="25400" r="37465" b="5016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  <w:lang w:val="en-US" w:eastAsia="zh-CN"/>
        </w:rPr>
        <w:t>20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9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sdt>
      <w:sdt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  <w:id w:val="14745542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</w:sdtEndPr>
      <w:sdtContent>
        <w:sdt>
          <w:sdt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  <w:id w:val="1474554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</w:sdtEndPr>
          <w:sdtContent>
            <w:sdt>
              <w:sdtPr>
                <w:rPr>
                  <w:rFonts w:ascii="宋体" w:hAnsi="宋体" w:eastAsia="宋体" w:cs="Times New Roman"/>
                  <w:kern w:val="2"/>
                  <w:sz w:val="44"/>
                  <w:szCs w:val="44"/>
                  <w:lang w:val="en-US" w:eastAsia="zh-CN" w:bidi="ar-SA"/>
                </w:rPr>
                <w:id w:val="147455427"/>
                <w15:color w:val="DBDBDB"/>
                <w:docPartObj>
                  <w:docPartGallery w:val="Table of Contents"/>
                  <w:docPartUnique/>
                </w:docPartObj>
              </w:sdtPr>
              <w:sdtEndPr>
                <w:rPr>
                  <w:rFonts w:ascii="宋体" w:hAnsi="宋体" w:eastAsia="宋体" w:cs="Times New Roman"/>
                  <w:kern w:val="2"/>
                  <w:sz w:val="44"/>
                  <w:szCs w:val="44"/>
                  <w:lang w:val="en-US" w:eastAsia="zh-CN" w:bidi="ar-SA"/>
                </w:rPr>
              </w:sdtEndPr>
              <w:sdtContent>
                <w:sdt>
                  <w:sdtPr>
                    <w:rPr>
                      <w:rFonts w:ascii="宋体" w:hAnsi="宋体" w:eastAsia="宋体" w:cs="Times New Roman"/>
                      <w:kern w:val="2"/>
                      <w:sz w:val="44"/>
                      <w:szCs w:val="44"/>
                      <w:lang w:val="en-US" w:eastAsia="zh-CN" w:bidi="ar-SA"/>
                    </w:rPr>
                    <w:id w:val="147455427"/>
                    <w15:color w:val="DBDBDB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 w:eastAsia="宋体" w:cs="Times New Roman"/>
                      <w:kern w:val="2"/>
                      <w:sz w:val="44"/>
                      <w:szCs w:val="44"/>
                      <w:lang w:val="en-US" w:eastAsia="zh-CN" w:bidi="ar-SA"/>
                    </w:rPr>
                  </w:sdtEndPr>
                  <w:sdt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ascii="宋体" w:hAnsi="宋体" w:eastAsia="宋体" w:cs="Times New Roman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</w:pPr>
                      <w:bookmarkStart w:id="0" w:name="_Toc511201401"/>
                      <w:bookmarkStart w:id="1" w:name="_Toc16135"/>
                      <w:bookmarkStart w:id="2" w:name="OLE_LINK3"/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bCs/>
                          <w:sz w:val="44"/>
                          <w:szCs w:val="44"/>
                        </w:rPr>
                        <w:t>目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 w:val="44"/>
                          <w:szCs w:val="44"/>
                        </w:rPr>
                        <w:t>录</w:t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TOC \o "1-3" \h \u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_Toc16135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一、环境质量概况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_Toc28291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二、空气环境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_Toc7673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县域环境空气质量状况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_Toc29194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三、降水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_Toc15844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四、水环境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_Toc13698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（一）广东省地表水环境功能区划水质状况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_Toc13698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（二）跨界断面水质状况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0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）省考水功能区断面水质状况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（四）城市饮用水源水质状况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_Toc24320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五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）重点水库水质状况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_Toc24320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_Toc6090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）石窟河流域水质状况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_Toc6090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_Toc30814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（七）城区河流断面水质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_Toc30814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（八）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入河排污口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_Toc25530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九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）石寨河水质状况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_Toc25530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 w:bidi="ar"/>
                        </w:rPr>
                        <w:t>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）蕉华管理区入境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instrText xml:space="preserve"> HYPERLINK \l _Toc14026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>【五、各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bidi="ar"/>
                        </w:rPr>
                        <w:t>乡镇环境质量状况】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18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_Toc13713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水环境质量状况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18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</w:pPr>
                      <w:r>
                        <w:fldChar w:fldCharType="end"/>
                      </w:r>
                    </w:p>
                  </w:sdtContent>
                </w:sdt>
              </w:sdtContent>
            </w:sdt>
          </w:sdtContent>
        </w:sdt>
      </w:sdtContent>
    </w:sdt>
    <w:p>
      <w:pPr>
        <w:spacing w:after="480" w:afterLines="200" w:line="560" w:lineRule="exact"/>
        <w:jc w:val="center"/>
        <w:outlineLvl w:val="9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bookmarkStart w:id="40" w:name="_GoBack"/>
      <w:bookmarkEnd w:id="40"/>
    </w:p>
    <w:p>
      <w:pPr>
        <w:spacing w:after="480" w:afterLines="200" w:line="560" w:lineRule="exact"/>
        <w:jc w:val="center"/>
        <w:outlineLvl w:val="9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月全县环境质量总体保持良好水平。空气质量达标天数比例（优良率）为100%，比去年同期持平。本月降水pH均值为6.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饮用水源地水质良好，达标率为100%。全县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个主要河段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）共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个监测断面中有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71.4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456174383"/>
      <w:bookmarkStart w:id="6" w:name="_Toc454286298"/>
      <w:bookmarkStart w:id="7" w:name="_Toc51120140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9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26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增加16天</w:t>
      </w:r>
      <w:r>
        <w:rPr>
          <w:rFonts w:ascii="Times New Roman" w:hAnsi="Times New Roman" w:eastAsiaTheme="minorEastAsia"/>
          <w:sz w:val="32"/>
          <w:szCs w:val="32"/>
        </w:rPr>
        <w:t>，良天数</w:t>
      </w:r>
      <w:r>
        <w:rPr>
          <w:rFonts w:hint="eastAsia" w:ascii="Times New Roman" w:hAnsi="Times New Roman" w:eastAsiaTheme="minorEastAsia"/>
          <w:sz w:val="32"/>
          <w:szCs w:val="32"/>
        </w:rPr>
        <w:t>3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减少17</w:t>
      </w:r>
      <w:r>
        <w:rPr>
          <w:rFonts w:ascii="Times New Roman" w:hAnsi="Times New Roman" w:eastAsiaTheme="minorEastAsia"/>
          <w:sz w:val="32"/>
          <w:szCs w:val="32"/>
        </w:rPr>
        <w:t>天。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9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环比8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环比8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32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环比8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环比8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95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环比8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</w:rPr>
        <w:t>上升10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1.1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环比8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持平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9月份空气质量综合指数2.26，环比8月份下降了0.09，比去年同期下降了0.88。9月份蕉岭空气质量综合指数在全市各区县8个空气监测点位中排名第5名。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2020年9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2020/9/13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2020/9/16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2020/9/17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2020/9/23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2020/9/24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2020/9/26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2020/9/30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96.6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38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39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1.3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99.6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1~9月份优216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49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，轻度污染1天，数据无效8天。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897856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898880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drawing>
          <wp:inline distT="0" distB="0" distL="0" distR="0">
            <wp:extent cx="8153400" cy="4514850"/>
            <wp:effectExtent l="4445" t="4445" r="1460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900928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904000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drawing>
          <wp:inline distT="0" distB="0" distL="0" distR="0">
            <wp:extent cx="9020175" cy="4629150"/>
            <wp:effectExtent l="19050" t="0" r="9525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179.4</w:t>
      </w:r>
      <w:r>
        <w:rPr>
          <w:sz w:val="32"/>
          <w:szCs w:val="32"/>
        </w:rPr>
        <w:t>mm，降水pH范围为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49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  <w:lang w:val="en-US" w:eastAsia="zh-CN"/>
        </w:rPr>
        <w:t>7.12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82</w:t>
      </w:r>
      <w:r>
        <w:rPr>
          <w:sz w:val="32"/>
          <w:szCs w:val="32"/>
        </w:rPr>
        <w:t>（酸雨临界值PH&lt;5.6）详见表3-1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9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49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7.12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="240" w:afterLines="100" w:line="560" w:lineRule="exact"/>
        <w:jc w:val="center"/>
        <w:outlineLvl w:val="9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outlineLvl w:val="9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</w:t>
      </w:r>
      <w:r>
        <w:rPr>
          <w:rFonts w:hint="eastAsia"/>
          <w:b/>
          <w:bCs/>
          <w:sz w:val="32"/>
          <w:szCs w:val="28"/>
          <w:lang w:val="en-US" w:eastAsia="zh-CN"/>
        </w:rPr>
        <w:t>20</w:t>
      </w:r>
      <w:r>
        <w:rPr>
          <w:rFonts w:hint="eastAsia"/>
          <w:b/>
          <w:bCs/>
          <w:sz w:val="32"/>
          <w:szCs w:val="28"/>
        </w:rPr>
        <w:t xml:space="preserve">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6.82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7.01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7.28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7.13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7.12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7.02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47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7.28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7.12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.62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.77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.71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.81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.77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.64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.84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.82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rFonts w:hint="eastAsia"/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widowControl/>
        <w:numPr>
          <w:ilvl w:val="0"/>
          <w:numId w:val="0"/>
        </w:numPr>
        <w:spacing w:before="240" w:beforeLines="100" w:after="120" w:afterLines="50" w:line="560" w:lineRule="exact"/>
        <w:ind w:firstLine="60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，经监测结果表明，除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高思出水口、大治桥2个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：长潭、新铺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、乌土下墩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、大坪头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三圳、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高思出水口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溪峰河；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水质为劣Ⅴ类的断面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大治桥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-12月份广东省地表水环境功能区划水质监测汇总</w:t>
      </w:r>
    </w:p>
    <w:tbl>
      <w:tblPr>
        <w:tblStyle w:val="16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39"/>
        <w:gridCol w:w="1791"/>
        <w:gridCol w:w="1252"/>
        <w:gridCol w:w="657"/>
        <w:gridCol w:w="657"/>
        <w:gridCol w:w="657"/>
        <w:gridCol w:w="658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12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39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路亭水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乌土下墩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柚树河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犁壁滩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隆文水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高思出水口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松源水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大治桥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溪峰河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9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断面由市站提供数据；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乌土下墩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高思出水口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大治桥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分析。</w:t>
            </w:r>
          </w:p>
        </w:tc>
      </w:tr>
    </w:tbl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跨界（县）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断面13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，经监测结果表明，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按水功能区划评价，13个监测断面水质达标率为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明显上升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园丰大桥（长潭水库进水口）、太山村与洋山村交界点（与武平县太山村交界处）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曹地村与岭背村交界点（与武平县交界处）、园潭（与梅县松源河交界点）、新铺（白渡沙坪）、犁壁滩（与平远交界处）；水质为Ⅲ类的断面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个，分别是：羊角电站（多宝水库进水口）、洋山村与保安村交界点（洋山村与上杭交界处）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保安村与石寨村交界点（上杭与石寨村交界处）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将军村与金山村交界点（与武平县交界处）、光彩村与尚田村交界点（与武平县交界处）、福塔大桥（与武平县岩前交界处）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大布村与叶田交界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spacing w:after="240" w:afterLines="100" w:line="56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sz w:val="30"/>
          <w:szCs w:val="30"/>
        </w:rPr>
        <w:t xml:space="preserve"> ： 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园丰大桥、羊角电站、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新铺（白渡沙坪）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3个断面由市站提供数据。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/>
          <w:b/>
          <w:bCs/>
          <w:kern w:val="0"/>
          <w:sz w:val="32"/>
          <w:szCs w:val="32"/>
        </w:rPr>
        <w:t>）省考水功能区断面水质状况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月，我县省考水功能区断面2个，经监测结果表明：龙潭水库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月相比，龙潭水库水质保持稳定达标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，新铺断面水质有所好转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断面由市站提供数据。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/>
          <w:b/>
          <w:bCs/>
          <w:kern w:val="0"/>
          <w:sz w:val="32"/>
          <w:szCs w:val="32"/>
        </w:rPr>
        <w:t>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月，我县城市饮用水源地（黄竹坪-龙潭水库）水质监测结果保持为Ⅱ类，达到目标水质要求。与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月相比，黄竹坪-龙潭水库水质保持稳定达标。详见表4-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b/>
          <w:bCs/>
          <w:sz w:val="32"/>
          <w:szCs w:val="32"/>
        </w:rPr>
      </w:pPr>
      <w:bookmarkStart w:id="34" w:name="_Toc243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月，我县重点水库水质断面2个，经监测结果表明：长潭水库水质为Ⅲ类，未能达到目标水质要求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总磷；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多宝水库水质为Ⅳ类，未能达到目标水质要求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高锰酸盐指数、化学需氧量、总磷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保持稳定，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水质变差，污染因子增加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：            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六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今年9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月，石窟河流域监测断面共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个，经监测结果表明：长潭断面水质为Ⅱ类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三圳（市控削减）断面水质为Ⅲ类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，均达到目标水质要求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，长潭、三圳断面水质均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达标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 1-12月份石窟河流域水质监测汇总</w:t>
      </w:r>
    </w:p>
    <w:tbl>
      <w:tblPr>
        <w:tblStyle w:val="1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color w:val="auto"/>
          <w:sz w:val="32"/>
          <w:szCs w:val="32"/>
          <w:lang w:bidi="ar"/>
        </w:rPr>
      </w:pPr>
      <w:r>
        <w:rPr>
          <w:rFonts w:hint="eastAsia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/>
          <w:b/>
          <w:bCs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/>
          <w:b/>
          <w:bCs/>
          <w:color w:val="auto"/>
          <w:kern w:val="0"/>
          <w:sz w:val="32"/>
          <w:szCs w:val="32"/>
        </w:rPr>
        <w:t>）</w:t>
      </w:r>
      <w:bookmarkEnd w:id="36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城区河流断面水质</w:t>
      </w:r>
      <w:r>
        <w:rPr>
          <w:b/>
          <w:color w:val="auto"/>
          <w:sz w:val="32"/>
          <w:szCs w:val="32"/>
          <w:lang w:bidi="ar"/>
        </w:rPr>
        <w:t>状况</w:t>
      </w: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化学需氧量、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氨氮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月份相比，环东河断面水质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变差，污染因子增加；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保持稳定达标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="120" w:afterLines="50" w:line="540" w:lineRule="exact"/>
        <w:ind w:firstLine="643" w:firstLineChars="200"/>
        <w:jc w:val="left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sz w:val="32"/>
          <w:szCs w:val="32"/>
          <w:lang w:bidi="ar"/>
        </w:rPr>
        <w:t>（</w:t>
      </w:r>
      <w:r>
        <w:rPr>
          <w:rFonts w:hint="eastAsia"/>
          <w:b/>
          <w:sz w:val="32"/>
          <w:szCs w:val="32"/>
          <w:lang w:eastAsia="zh-CN" w:bidi="ar"/>
        </w:rPr>
        <w:t>八</w:t>
      </w:r>
      <w:r>
        <w:rPr>
          <w:rFonts w:hint="eastAsia"/>
          <w:b/>
          <w:sz w:val="32"/>
          <w:szCs w:val="32"/>
          <w:lang w:bidi="ar"/>
        </w:rPr>
        <w:t>）入河排污口</w:t>
      </w:r>
      <w:r>
        <w:rPr>
          <w:b/>
          <w:sz w:val="32"/>
          <w:szCs w:val="32"/>
          <w:lang w:bidi="ar"/>
        </w:rPr>
        <w:t>水质状况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default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月，我县入河排污口（规模以上）水质断面2个，经监测结果表明：蕉城污水处理厂混合废水排污口断面水质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为Ⅲ类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蕉华区污水处理有限公司混合废水入河排污口断面水质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月份相比，蕉城污水处理厂混合废水排污口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均保持稳定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8。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spacing w:after="120" w:afterLines="50" w:line="54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年1-12月份入河排污口水质监测汇总</w:t>
      </w:r>
    </w:p>
    <w:tbl>
      <w:tblPr>
        <w:tblStyle w:val="16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20" w:beforeLines="50" w:line="560" w:lineRule="exact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九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bookmarkEnd w:id="37"/>
      <w:bookmarkStart w:id="38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Ⅳ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  <w:lang w:eastAsia="zh-CN"/>
        </w:rPr>
        <w:t>未能达到目标水质要求，主要污染物为氨氮、总磷。</w:t>
      </w:r>
      <w:r>
        <w:rPr>
          <w:rFonts w:hint="eastAsia" w:ascii="宋体" w:hAnsi="宋体" w:cs="宋体"/>
          <w:sz w:val="30"/>
          <w:szCs w:val="30"/>
        </w:rPr>
        <w:t>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sz w:val="30"/>
          <w:szCs w:val="30"/>
        </w:rPr>
        <w:t>月份相比，水质</w:t>
      </w:r>
      <w:r>
        <w:rPr>
          <w:rFonts w:hint="eastAsia" w:ascii="宋体" w:hAnsi="宋体" w:cs="宋体"/>
          <w:sz w:val="30"/>
          <w:szCs w:val="30"/>
          <w:lang w:eastAsia="zh-CN"/>
        </w:rPr>
        <w:t>变差</w:t>
      </w:r>
      <w:r>
        <w:rPr>
          <w:rFonts w:hint="eastAsia" w:ascii="宋体" w:hAnsi="宋体" w:cs="宋体"/>
          <w:sz w:val="30"/>
          <w:szCs w:val="30"/>
        </w:rPr>
        <w:t>。详见表4-</w:t>
      </w:r>
      <w:r>
        <w:rPr>
          <w:rFonts w:hint="eastAsia" w:ascii="宋体" w:hAnsi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sz w:val="30"/>
          <w:szCs w:val="30"/>
        </w:rPr>
        <w:t xml:space="preserve"> ：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0"/>
          <w:szCs w:val="30"/>
        </w:rPr>
        <w:t>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榕树下</w:t>
            </w:r>
            <w:r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十</w:t>
      </w:r>
      <w:r>
        <w:rPr>
          <w:rFonts w:hint="eastAsia"/>
          <w:b/>
          <w:bCs/>
          <w:kern w:val="0"/>
          <w:sz w:val="32"/>
          <w:szCs w:val="32"/>
        </w:rPr>
        <w:t>）蕉华管理区入境</w:t>
      </w:r>
      <w:r>
        <w:rPr>
          <w:rFonts w:hint="eastAsia"/>
          <w:b/>
          <w:sz w:val="32"/>
          <w:szCs w:val="32"/>
          <w:lang w:bidi="ar"/>
        </w:rPr>
        <w:t>水质</w:t>
      </w:r>
      <w:r>
        <w:rPr>
          <w:b/>
          <w:sz w:val="32"/>
          <w:szCs w:val="32"/>
          <w:lang w:bidi="ar"/>
        </w:rPr>
        <w:t>状况</w:t>
      </w:r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三圳镇入境（蕉华管理区）河流监测断面共5个，经监测结果表明：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樟芳坝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、下李屋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5个断面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水质均为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、下李屋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2个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樟芳坝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有所好转。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1-12月份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蕉华管理区流域水质监测汇总</w:t>
      </w:r>
    </w:p>
    <w:tbl>
      <w:tblPr>
        <w:tblStyle w:val="16"/>
        <w:tblW w:w="10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81"/>
        <w:gridCol w:w="1571"/>
        <w:gridCol w:w="795"/>
        <w:gridCol w:w="569"/>
        <w:gridCol w:w="569"/>
        <w:gridCol w:w="568"/>
        <w:gridCol w:w="569"/>
        <w:gridCol w:w="569"/>
        <w:gridCol w:w="567"/>
        <w:gridCol w:w="569"/>
        <w:gridCol w:w="568"/>
        <w:gridCol w:w="569"/>
        <w:gridCol w:w="569"/>
        <w:gridCol w:w="568"/>
        <w:gridCol w:w="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68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蕉华管理区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五杠楼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樟芳坝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莲塘区与芳心村交界点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柑桔园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下李屋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0"/>
        <w:rPr>
          <w:rFonts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【五、各</w:t>
      </w:r>
      <w:r>
        <w:rPr>
          <w:rFonts w:hint="eastAsia"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乡镇环境质量状况】</w:t>
      </w: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  <w:bookmarkStart w:id="39" w:name="_Toc13713"/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水环境质量状况</w:t>
      </w:r>
      <w:bookmarkEnd w:id="39"/>
    </w:p>
    <w:p>
      <w:pPr>
        <w:ind w:firstLine="643" w:firstLineChars="200"/>
        <w:outlineLvl w:val="9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  <w:r>
        <w:rPr>
          <w:rFonts w:hint="eastAsia"/>
          <w:bCs/>
          <w:sz w:val="30"/>
          <w:szCs w:val="30"/>
        </w:rPr>
        <w:t>今年</w:t>
      </w:r>
      <w:r>
        <w:rPr>
          <w:rFonts w:hint="eastAsia"/>
          <w:bCs/>
          <w:sz w:val="30"/>
          <w:szCs w:val="30"/>
          <w:lang w:val="en-US" w:eastAsia="zh-CN"/>
        </w:rPr>
        <w:t>9</w:t>
      </w:r>
      <w:r>
        <w:rPr>
          <w:rFonts w:hint="eastAsia"/>
          <w:bCs/>
          <w:sz w:val="30"/>
          <w:szCs w:val="30"/>
        </w:rPr>
        <w:t>月，全县8个镇20个水质考核断面监测结果显示：</w:t>
      </w:r>
      <w:r>
        <w:rPr>
          <w:rFonts w:hint="eastAsia"/>
          <w:bCs/>
          <w:sz w:val="30"/>
          <w:szCs w:val="30"/>
          <w:lang w:eastAsia="zh-CN"/>
        </w:rPr>
        <w:t>白渡沙坪（新铺镇）、沙尾出水口（长潭镇）、滑子坑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  <w:lang w:eastAsia="zh-CN"/>
        </w:rPr>
        <w:t>、</w:t>
      </w:r>
      <w:r>
        <w:rPr>
          <w:rFonts w:hint="eastAsia"/>
          <w:bCs/>
          <w:sz w:val="30"/>
          <w:szCs w:val="30"/>
        </w:rPr>
        <w:t>乌土村下墩（文福镇）、福塔大桥（广福镇）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个断面均达到目标水质Ⅱ、Ⅲ类，其他各断面水质均未达到目标水质要求。蕉城镇3个考核断面水质在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eastAsia="zh-CN"/>
        </w:rPr>
        <w:t>劣</w:t>
      </w:r>
      <w:r>
        <w:rPr>
          <w:rFonts w:hint="eastAsia"/>
          <w:sz w:val="30"/>
          <w:szCs w:val="30"/>
        </w:rPr>
        <w:t>Ⅴ类之间；三圳镇2个考核断面水质在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eastAsia="zh-CN"/>
        </w:rPr>
        <w:t>劣</w:t>
      </w:r>
      <w:r>
        <w:rPr>
          <w:rFonts w:hint="eastAsia"/>
          <w:sz w:val="30"/>
          <w:szCs w:val="30"/>
        </w:rPr>
        <w:t>Ⅴ类之间；新铺镇5个考核断面水质在Ⅱ～</w:t>
      </w:r>
      <w:r>
        <w:rPr>
          <w:rFonts w:hint="eastAsia"/>
          <w:sz w:val="30"/>
          <w:szCs w:val="30"/>
          <w:lang w:eastAsia="zh-CN"/>
        </w:rPr>
        <w:t>劣</w:t>
      </w:r>
      <w:r>
        <w:rPr>
          <w:rFonts w:hint="eastAsia"/>
          <w:sz w:val="30"/>
          <w:szCs w:val="30"/>
        </w:rPr>
        <w:t>Ⅴ类之间；长潭镇3个考核断面水质在Ⅲ～Ⅴ类之间；蓝坊镇2个考核断面水质在Ⅲ～</w:t>
      </w:r>
      <w:r>
        <w:rPr>
          <w:rFonts w:hint="eastAsia"/>
          <w:sz w:val="30"/>
          <w:szCs w:val="30"/>
          <w:lang w:eastAsia="zh-CN"/>
        </w:rPr>
        <w:t>劣</w:t>
      </w:r>
      <w:r>
        <w:rPr>
          <w:rFonts w:hint="eastAsia"/>
          <w:sz w:val="30"/>
          <w:szCs w:val="30"/>
        </w:rPr>
        <w:t>Ⅴ类之间；南磜镇3个考核断面水质在Ⅱ～Ⅲ类之间；文福镇1个考核断面水质为Ⅱ类；广福镇1个考核断面水质为Ⅲ类。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8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7</w:t>
      </w:r>
      <w:r>
        <w:rPr>
          <w:rFonts w:hint="eastAsia"/>
          <w:bCs/>
          <w:sz w:val="30"/>
          <w:szCs w:val="30"/>
        </w:rPr>
        <w:t>个（包括污染因子增加），</w:t>
      </w:r>
      <w:r>
        <w:rPr>
          <w:rFonts w:hint="eastAsia"/>
          <w:bCs/>
          <w:sz w:val="30"/>
          <w:szCs w:val="30"/>
          <w:lang w:eastAsia="zh-CN"/>
        </w:rPr>
        <w:t>分别</w:t>
      </w:r>
      <w:r>
        <w:rPr>
          <w:rFonts w:hint="eastAsia"/>
          <w:bCs/>
          <w:sz w:val="30"/>
          <w:szCs w:val="30"/>
        </w:rPr>
        <w:t>是：杨屋坝出口</w:t>
      </w:r>
      <w:r>
        <w:rPr>
          <w:rFonts w:hint="eastAsia"/>
          <w:bCs/>
          <w:sz w:val="30"/>
          <w:szCs w:val="30"/>
          <w:lang w:eastAsia="zh-CN"/>
        </w:rPr>
        <w:t>、老阿山桥（蕉城镇）、犁壁滩、福头、公墓山、石峰径（</w:t>
      </w:r>
      <w:r>
        <w:rPr>
          <w:rFonts w:hint="eastAsia"/>
          <w:sz w:val="30"/>
          <w:szCs w:val="30"/>
          <w:lang w:eastAsia="zh-CN"/>
        </w:rPr>
        <w:t>新铺</w:t>
      </w:r>
      <w:r>
        <w:rPr>
          <w:rFonts w:hint="eastAsia"/>
          <w:sz w:val="30"/>
          <w:szCs w:val="30"/>
        </w:rPr>
        <w:t>镇</w:t>
      </w:r>
      <w:r>
        <w:rPr>
          <w:rFonts w:hint="eastAsia"/>
          <w:bCs/>
          <w:sz w:val="30"/>
          <w:szCs w:val="30"/>
          <w:lang w:eastAsia="zh-CN"/>
        </w:rPr>
        <w:t>）、大治桥（</w:t>
      </w:r>
      <w:r>
        <w:rPr>
          <w:rFonts w:hint="eastAsia"/>
          <w:sz w:val="30"/>
          <w:szCs w:val="30"/>
        </w:rPr>
        <w:t>蓝坊镇</w:t>
      </w:r>
      <w:r>
        <w:rPr>
          <w:rFonts w:hint="eastAsia"/>
          <w:bCs/>
          <w:sz w:val="30"/>
          <w:szCs w:val="30"/>
          <w:lang w:eastAsia="zh-CN"/>
        </w:rPr>
        <w:t>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  <w:lang w:bidi="ar"/>
        </w:rPr>
        <w:t>详见表5-</w:t>
      </w:r>
      <w:r>
        <w:rPr>
          <w:rFonts w:hint="eastAsia"/>
          <w:kern w:val="2"/>
          <w:sz w:val="30"/>
          <w:szCs w:val="30"/>
          <w:lang w:val="en-US" w:eastAsia="zh-CN" w:bidi="ar"/>
        </w:rPr>
        <w:t>1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: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—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1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910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927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27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20115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011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</w:t>
    </w:r>
    <w:r>
      <w:rPr>
        <w:rFonts w:hint="eastAsia"/>
        <w:b/>
        <w:color w:val="1F497D"/>
        <w:sz w:val="24"/>
        <w:szCs w:val="24"/>
        <w:lang w:val="en-US" w:eastAsia="zh-CN"/>
      </w:rPr>
      <w:t>9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</w:t>
    </w:r>
    <w:r>
      <w:rPr>
        <w:rFonts w:hint="eastAsia"/>
        <w:b/>
        <w:color w:val="1F497D"/>
        <w:sz w:val="24"/>
        <w:szCs w:val="24"/>
        <w:lang w:val="en-US" w:eastAsia="zh-CN"/>
      </w:rPr>
      <w:t>9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9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9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B282FB"/>
    <w:multiLevelType w:val="singleLevel"/>
    <w:tmpl w:val="78B282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124C8"/>
    <w:rsid w:val="048205F2"/>
    <w:rsid w:val="04AA7F41"/>
    <w:rsid w:val="04F37BF1"/>
    <w:rsid w:val="05A44107"/>
    <w:rsid w:val="05BA1BE1"/>
    <w:rsid w:val="05EF61BF"/>
    <w:rsid w:val="062844C4"/>
    <w:rsid w:val="0713706B"/>
    <w:rsid w:val="07174799"/>
    <w:rsid w:val="07C6685A"/>
    <w:rsid w:val="07E03CBD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A4006F"/>
    <w:rsid w:val="0DDE52FE"/>
    <w:rsid w:val="0E136178"/>
    <w:rsid w:val="0E923C79"/>
    <w:rsid w:val="0EA63EB7"/>
    <w:rsid w:val="0EBA6E9C"/>
    <w:rsid w:val="0EDC2FC5"/>
    <w:rsid w:val="0F0E19EA"/>
    <w:rsid w:val="0F89761D"/>
    <w:rsid w:val="0F8B1B5D"/>
    <w:rsid w:val="0FDC5DFA"/>
    <w:rsid w:val="10541CF9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C846BE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D015E5"/>
    <w:rsid w:val="21454C51"/>
    <w:rsid w:val="22204D63"/>
    <w:rsid w:val="22241AF6"/>
    <w:rsid w:val="222C7E18"/>
    <w:rsid w:val="22310660"/>
    <w:rsid w:val="223C7211"/>
    <w:rsid w:val="233035F4"/>
    <w:rsid w:val="23D27B61"/>
    <w:rsid w:val="23ED6788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AB256F6"/>
    <w:rsid w:val="2B74259B"/>
    <w:rsid w:val="2B94185D"/>
    <w:rsid w:val="2BE069C6"/>
    <w:rsid w:val="2C25102B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4D48C1"/>
    <w:rsid w:val="30C109DF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0A0D91"/>
    <w:rsid w:val="35246FF1"/>
    <w:rsid w:val="3540337D"/>
    <w:rsid w:val="35D87E35"/>
    <w:rsid w:val="3635496D"/>
    <w:rsid w:val="365D076C"/>
    <w:rsid w:val="3717127E"/>
    <w:rsid w:val="376744D4"/>
    <w:rsid w:val="37AF141B"/>
    <w:rsid w:val="380508C5"/>
    <w:rsid w:val="38577F05"/>
    <w:rsid w:val="39183324"/>
    <w:rsid w:val="397561C1"/>
    <w:rsid w:val="3A6D6972"/>
    <w:rsid w:val="3A9E2E89"/>
    <w:rsid w:val="3B741F1F"/>
    <w:rsid w:val="3B971DD5"/>
    <w:rsid w:val="3BA12F81"/>
    <w:rsid w:val="3D0559D0"/>
    <w:rsid w:val="3D8A2458"/>
    <w:rsid w:val="3DC93BFF"/>
    <w:rsid w:val="3EA11E87"/>
    <w:rsid w:val="3EAE2AD9"/>
    <w:rsid w:val="3F4A5CB4"/>
    <w:rsid w:val="3FEF0A89"/>
    <w:rsid w:val="40313F5C"/>
    <w:rsid w:val="403D04C9"/>
    <w:rsid w:val="40643758"/>
    <w:rsid w:val="40815E92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903D49"/>
    <w:rsid w:val="45DD0F06"/>
    <w:rsid w:val="46010E80"/>
    <w:rsid w:val="460A0BF0"/>
    <w:rsid w:val="46865A94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953731"/>
    <w:rsid w:val="49A4642A"/>
    <w:rsid w:val="49BA7FDC"/>
    <w:rsid w:val="49E12F80"/>
    <w:rsid w:val="4A3D7AA7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3B86208"/>
    <w:rsid w:val="54293139"/>
    <w:rsid w:val="54446715"/>
    <w:rsid w:val="5458037F"/>
    <w:rsid w:val="547F26DD"/>
    <w:rsid w:val="548E0562"/>
    <w:rsid w:val="54FC6ACF"/>
    <w:rsid w:val="55212B68"/>
    <w:rsid w:val="55ED34B9"/>
    <w:rsid w:val="55F4312A"/>
    <w:rsid w:val="56E378C9"/>
    <w:rsid w:val="5732332F"/>
    <w:rsid w:val="57A27CE8"/>
    <w:rsid w:val="57EC2846"/>
    <w:rsid w:val="58A218D8"/>
    <w:rsid w:val="58DF040C"/>
    <w:rsid w:val="593D7152"/>
    <w:rsid w:val="5941038D"/>
    <w:rsid w:val="596E297B"/>
    <w:rsid w:val="599D3734"/>
    <w:rsid w:val="5A1F3452"/>
    <w:rsid w:val="5A236317"/>
    <w:rsid w:val="5A270C3D"/>
    <w:rsid w:val="5A453DC8"/>
    <w:rsid w:val="5B285C6B"/>
    <w:rsid w:val="5B642FAA"/>
    <w:rsid w:val="5BC84F5C"/>
    <w:rsid w:val="5BDA12DE"/>
    <w:rsid w:val="5C1248EC"/>
    <w:rsid w:val="5C331109"/>
    <w:rsid w:val="5CC670FC"/>
    <w:rsid w:val="5CED5F94"/>
    <w:rsid w:val="5D3C6257"/>
    <w:rsid w:val="5E070671"/>
    <w:rsid w:val="5E4355BE"/>
    <w:rsid w:val="5EF868AD"/>
    <w:rsid w:val="5EFF7F8C"/>
    <w:rsid w:val="5F001F6E"/>
    <w:rsid w:val="5FFB3DF1"/>
    <w:rsid w:val="622D0A59"/>
    <w:rsid w:val="628309AE"/>
    <w:rsid w:val="630D56BC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397BDF"/>
    <w:rsid w:val="6B9C7D86"/>
    <w:rsid w:val="6BA2767B"/>
    <w:rsid w:val="6BE455FB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B100E0"/>
    <w:rsid w:val="6FE17C94"/>
    <w:rsid w:val="70633265"/>
    <w:rsid w:val="70B46C4C"/>
    <w:rsid w:val="71312EBE"/>
    <w:rsid w:val="71723CEF"/>
    <w:rsid w:val="717446B0"/>
    <w:rsid w:val="718B2D9D"/>
    <w:rsid w:val="71F05BBD"/>
    <w:rsid w:val="724762BC"/>
    <w:rsid w:val="72735280"/>
    <w:rsid w:val="72C21043"/>
    <w:rsid w:val="72EA59C1"/>
    <w:rsid w:val="734429FD"/>
    <w:rsid w:val="739F7EA9"/>
    <w:rsid w:val="73CF7575"/>
    <w:rsid w:val="73EB0593"/>
    <w:rsid w:val="74290D3D"/>
    <w:rsid w:val="742C2A51"/>
    <w:rsid w:val="74575322"/>
    <w:rsid w:val="749D642B"/>
    <w:rsid w:val="75985A6A"/>
    <w:rsid w:val="76720F2E"/>
    <w:rsid w:val="773B0BC9"/>
    <w:rsid w:val="77AF38AC"/>
    <w:rsid w:val="77CC495A"/>
    <w:rsid w:val="77F47C57"/>
    <w:rsid w:val="77F72CAB"/>
    <w:rsid w:val="7810217C"/>
    <w:rsid w:val="78D536E4"/>
    <w:rsid w:val="79194F11"/>
    <w:rsid w:val="794A359F"/>
    <w:rsid w:val="79652FD1"/>
    <w:rsid w:val="799D310C"/>
    <w:rsid w:val="79B153C4"/>
    <w:rsid w:val="79CE0D0B"/>
    <w:rsid w:val="7A3A79FC"/>
    <w:rsid w:val="7A3F4AFB"/>
    <w:rsid w:val="7A80655C"/>
    <w:rsid w:val="7ACF0117"/>
    <w:rsid w:val="7BB2099B"/>
    <w:rsid w:val="7BE5287D"/>
    <w:rsid w:val="7C424B1D"/>
    <w:rsid w:val="7C57613A"/>
    <w:rsid w:val="7CAE0CBE"/>
    <w:rsid w:val="7CC15F2C"/>
    <w:rsid w:val="7CF4357A"/>
    <w:rsid w:val="7D3C6B6E"/>
    <w:rsid w:val="7DAC3561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39046;&#23548;&#30475;\2020&#24180;9&#26376;&#34121;&#23725;&#21439;&#38215;&#23665;&#36335;&#23376;&#31449;&#31354;&#27668;&#30417;&#27979;&#25968;&#25454;&#27719;&#24635;&#34920;&#65288;&#39046;&#23548;&#30475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39046;&#23548;&#30475;\2020&#24180;9&#26376;&#34121;&#23725;&#21439;&#38215;&#23665;&#36335;&#23376;&#31449;&#31354;&#27668;&#30417;&#27979;&#25968;&#25454;&#27719;&#24635;&#34920;&#65288;&#39046;&#23548;&#30475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73766772144136"/>
          <c:y val="0.0312307164136129"/>
          <c:w val="0.935715161773003"/>
          <c:h val="0.790187492386237"/>
        </c:manualLayout>
      </c:layout>
      <c:lineChart>
        <c:grouping val="standard"/>
        <c:varyColors val="0"/>
        <c:ser>
          <c:idx val="0"/>
          <c:order val="0"/>
          <c:tx>
            <c:strRef>
              <c:f>'2020年'!$B$3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44075</c:v>
                </c:pt>
                <c:pt idx="1" c:formatCode="yyyy/m/dd">
                  <c:v>44076</c:v>
                </c:pt>
                <c:pt idx="2" c:formatCode="yyyy/m/dd">
                  <c:v>44077</c:v>
                </c:pt>
                <c:pt idx="3" c:formatCode="yyyy/m/dd">
                  <c:v>44078</c:v>
                </c:pt>
                <c:pt idx="4" c:formatCode="yyyy/m/dd">
                  <c:v>44079</c:v>
                </c:pt>
                <c:pt idx="5" c:formatCode="yyyy/m/dd">
                  <c:v>44080</c:v>
                </c:pt>
                <c:pt idx="6" c:formatCode="yyyy/m/dd">
                  <c:v>44081</c:v>
                </c:pt>
                <c:pt idx="7" c:formatCode="yyyy/m/dd">
                  <c:v>44082</c:v>
                </c:pt>
                <c:pt idx="8" c:formatCode="yyyy/m/dd">
                  <c:v>44083</c:v>
                </c:pt>
                <c:pt idx="9" c:formatCode="yyyy/m/dd">
                  <c:v>44084</c:v>
                </c:pt>
                <c:pt idx="10" c:formatCode="yyyy/m/dd">
                  <c:v>44085</c:v>
                </c:pt>
                <c:pt idx="11" c:formatCode="yyyy/m/dd">
                  <c:v>44086</c:v>
                </c:pt>
                <c:pt idx="12" c:formatCode="yyyy/m/dd">
                  <c:v>44087</c:v>
                </c:pt>
                <c:pt idx="13" c:formatCode="yyyy/m/dd">
                  <c:v>44088</c:v>
                </c:pt>
                <c:pt idx="14" c:formatCode="yyyy/m/dd">
                  <c:v>44089</c:v>
                </c:pt>
                <c:pt idx="15" c:formatCode="yyyy/m/dd">
                  <c:v>44090</c:v>
                </c:pt>
                <c:pt idx="16" c:formatCode="yyyy/m/dd">
                  <c:v>44091</c:v>
                </c:pt>
                <c:pt idx="17" c:formatCode="yyyy/m/dd">
                  <c:v>44092</c:v>
                </c:pt>
                <c:pt idx="18" c:formatCode="yyyy/m/dd">
                  <c:v>44093</c:v>
                </c:pt>
                <c:pt idx="19" c:formatCode="yyyy/m/dd">
                  <c:v>44094</c:v>
                </c:pt>
                <c:pt idx="20" c:formatCode="yyyy/m/dd">
                  <c:v>44095</c:v>
                </c:pt>
                <c:pt idx="21" c:formatCode="yyyy/m/dd">
                  <c:v>44096</c:v>
                </c:pt>
                <c:pt idx="22" c:formatCode="yyyy/m/dd">
                  <c:v>44097</c:v>
                </c:pt>
                <c:pt idx="23" c:formatCode="yyyy/m/dd">
                  <c:v>44098</c:v>
                </c:pt>
                <c:pt idx="24" c:formatCode="yyyy/m/dd">
                  <c:v>44099</c:v>
                </c:pt>
                <c:pt idx="25" c:formatCode="yyyy/m/dd">
                  <c:v>44100</c:v>
                </c:pt>
                <c:pt idx="26" c:formatCode="yyyy/m/dd">
                  <c:v>44101</c:v>
                </c:pt>
                <c:pt idx="27" c:formatCode="yyyy/m/dd">
                  <c:v>44102</c:v>
                </c:pt>
                <c:pt idx="28" c:formatCode="yyyy/m/dd">
                  <c:v>44103</c:v>
                </c:pt>
                <c:pt idx="29" c:formatCode="yyyy/m/dd">
                  <c:v>44104</c:v>
                </c:pt>
              </c:numCache>
            </c:numRef>
          </c:cat>
          <c:val>
            <c:numRef>
              <c:f>'2020年'!$B$4:$B$33</c:f>
              <c:numCache>
                <c:formatCode>General</c:formatCode>
                <c:ptCount val="30"/>
                <c:pt idx="0">
                  <c:v>7</c:v>
                </c:pt>
                <c:pt idx="1">
                  <c:v>6</c:v>
                </c:pt>
                <c:pt idx="2">
                  <c:v>19</c:v>
                </c:pt>
                <c:pt idx="3">
                  <c:v>21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8</c:v>
                </c:pt>
                <c:pt idx="8">
                  <c:v>0</c:v>
                </c:pt>
                <c:pt idx="9">
                  <c:v>6</c:v>
                </c:pt>
                <c:pt idx="10">
                  <c:v>7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5</c:v>
                </c:pt>
                <c:pt idx="15">
                  <c:v>5</c:v>
                </c:pt>
                <c:pt idx="16">
                  <c:v>6</c:v>
                </c:pt>
                <c:pt idx="17">
                  <c:v>8</c:v>
                </c:pt>
                <c:pt idx="18">
                  <c:v>7</c:v>
                </c:pt>
                <c:pt idx="19">
                  <c:v>7</c:v>
                </c:pt>
                <c:pt idx="20">
                  <c:v>6</c:v>
                </c:pt>
                <c:pt idx="21">
                  <c:v>5</c:v>
                </c:pt>
                <c:pt idx="22">
                  <c:v>6</c:v>
                </c:pt>
                <c:pt idx="23">
                  <c:v>10</c:v>
                </c:pt>
                <c:pt idx="24">
                  <c:v>6</c:v>
                </c:pt>
                <c:pt idx="25">
                  <c:v>5</c:v>
                </c:pt>
                <c:pt idx="26">
                  <c:v>4</c:v>
                </c:pt>
                <c:pt idx="27">
                  <c:v>8</c:v>
                </c:pt>
                <c:pt idx="28">
                  <c:v>8</c:v>
                </c:pt>
                <c:pt idx="29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'2020年'!$C$3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44075</c:v>
                </c:pt>
                <c:pt idx="1" c:formatCode="yyyy/m/dd">
                  <c:v>44076</c:v>
                </c:pt>
                <c:pt idx="2" c:formatCode="yyyy/m/dd">
                  <c:v>44077</c:v>
                </c:pt>
                <c:pt idx="3" c:formatCode="yyyy/m/dd">
                  <c:v>44078</c:v>
                </c:pt>
                <c:pt idx="4" c:formatCode="yyyy/m/dd">
                  <c:v>44079</c:v>
                </c:pt>
                <c:pt idx="5" c:formatCode="yyyy/m/dd">
                  <c:v>44080</c:v>
                </c:pt>
                <c:pt idx="6" c:formatCode="yyyy/m/dd">
                  <c:v>44081</c:v>
                </c:pt>
                <c:pt idx="7" c:formatCode="yyyy/m/dd">
                  <c:v>44082</c:v>
                </c:pt>
                <c:pt idx="8" c:formatCode="yyyy/m/dd">
                  <c:v>44083</c:v>
                </c:pt>
                <c:pt idx="9" c:formatCode="yyyy/m/dd">
                  <c:v>44084</c:v>
                </c:pt>
                <c:pt idx="10" c:formatCode="yyyy/m/dd">
                  <c:v>44085</c:v>
                </c:pt>
                <c:pt idx="11" c:formatCode="yyyy/m/dd">
                  <c:v>44086</c:v>
                </c:pt>
                <c:pt idx="12" c:formatCode="yyyy/m/dd">
                  <c:v>44087</c:v>
                </c:pt>
                <c:pt idx="13" c:formatCode="yyyy/m/dd">
                  <c:v>44088</c:v>
                </c:pt>
                <c:pt idx="14" c:formatCode="yyyy/m/dd">
                  <c:v>44089</c:v>
                </c:pt>
                <c:pt idx="15" c:formatCode="yyyy/m/dd">
                  <c:v>44090</c:v>
                </c:pt>
                <c:pt idx="16" c:formatCode="yyyy/m/dd">
                  <c:v>44091</c:v>
                </c:pt>
                <c:pt idx="17" c:formatCode="yyyy/m/dd">
                  <c:v>44092</c:v>
                </c:pt>
                <c:pt idx="18" c:formatCode="yyyy/m/dd">
                  <c:v>44093</c:v>
                </c:pt>
                <c:pt idx="19" c:formatCode="yyyy/m/dd">
                  <c:v>44094</c:v>
                </c:pt>
                <c:pt idx="20" c:formatCode="yyyy/m/dd">
                  <c:v>44095</c:v>
                </c:pt>
                <c:pt idx="21" c:formatCode="yyyy/m/dd">
                  <c:v>44096</c:v>
                </c:pt>
                <c:pt idx="22" c:formatCode="yyyy/m/dd">
                  <c:v>44097</c:v>
                </c:pt>
                <c:pt idx="23" c:formatCode="yyyy/m/dd">
                  <c:v>44098</c:v>
                </c:pt>
                <c:pt idx="24" c:formatCode="yyyy/m/dd">
                  <c:v>44099</c:v>
                </c:pt>
                <c:pt idx="25" c:formatCode="yyyy/m/dd">
                  <c:v>44100</c:v>
                </c:pt>
                <c:pt idx="26" c:formatCode="yyyy/m/dd">
                  <c:v>44101</c:v>
                </c:pt>
                <c:pt idx="27" c:formatCode="yyyy/m/dd">
                  <c:v>44102</c:v>
                </c:pt>
                <c:pt idx="28" c:formatCode="yyyy/m/dd">
                  <c:v>44103</c:v>
                </c:pt>
                <c:pt idx="29" c:formatCode="yyyy/m/dd">
                  <c:v>44104</c:v>
                </c:pt>
              </c:numCache>
            </c:numRef>
          </c:cat>
          <c:val>
            <c:numRef>
              <c:f>'2020年'!$C$4:$C$33</c:f>
              <c:numCache>
                <c:formatCode>General</c:formatCode>
                <c:ptCount val="30"/>
                <c:pt idx="0">
                  <c:v>16</c:v>
                </c:pt>
                <c:pt idx="1">
                  <c:v>21</c:v>
                </c:pt>
                <c:pt idx="2">
                  <c:v>21</c:v>
                </c:pt>
                <c:pt idx="3">
                  <c:v>17</c:v>
                </c:pt>
                <c:pt idx="4">
                  <c:v>17</c:v>
                </c:pt>
                <c:pt idx="5">
                  <c:v>15</c:v>
                </c:pt>
                <c:pt idx="6">
                  <c:v>15</c:v>
                </c:pt>
                <c:pt idx="7">
                  <c:v>17</c:v>
                </c:pt>
                <c:pt idx="8">
                  <c:v>0</c:v>
                </c:pt>
                <c:pt idx="9">
                  <c:v>14</c:v>
                </c:pt>
                <c:pt idx="10">
                  <c:v>13</c:v>
                </c:pt>
                <c:pt idx="11">
                  <c:v>11</c:v>
                </c:pt>
                <c:pt idx="12">
                  <c:v>11</c:v>
                </c:pt>
                <c:pt idx="13">
                  <c:v>9</c:v>
                </c:pt>
                <c:pt idx="14">
                  <c:v>12</c:v>
                </c:pt>
                <c:pt idx="15">
                  <c:v>12</c:v>
                </c:pt>
                <c:pt idx="16">
                  <c:v>12</c:v>
                </c:pt>
                <c:pt idx="17">
                  <c:v>11</c:v>
                </c:pt>
                <c:pt idx="18">
                  <c:v>8</c:v>
                </c:pt>
                <c:pt idx="19">
                  <c:v>14</c:v>
                </c:pt>
                <c:pt idx="20">
                  <c:v>8</c:v>
                </c:pt>
                <c:pt idx="21">
                  <c:v>14</c:v>
                </c:pt>
                <c:pt idx="22">
                  <c:v>9</c:v>
                </c:pt>
                <c:pt idx="23">
                  <c:v>6</c:v>
                </c:pt>
                <c:pt idx="24">
                  <c:v>12</c:v>
                </c:pt>
                <c:pt idx="25">
                  <c:v>14</c:v>
                </c:pt>
                <c:pt idx="26">
                  <c:v>9</c:v>
                </c:pt>
                <c:pt idx="27">
                  <c:v>17</c:v>
                </c:pt>
                <c:pt idx="28">
                  <c:v>15</c:v>
                </c:pt>
                <c:pt idx="29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'2020年'!$D$3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44075</c:v>
                </c:pt>
                <c:pt idx="1" c:formatCode="yyyy/m/dd">
                  <c:v>44076</c:v>
                </c:pt>
                <c:pt idx="2" c:formatCode="yyyy/m/dd">
                  <c:v>44077</c:v>
                </c:pt>
                <c:pt idx="3" c:formatCode="yyyy/m/dd">
                  <c:v>44078</c:v>
                </c:pt>
                <c:pt idx="4" c:formatCode="yyyy/m/dd">
                  <c:v>44079</c:v>
                </c:pt>
                <c:pt idx="5" c:formatCode="yyyy/m/dd">
                  <c:v>44080</c:v>
                </c:pt>
                <c:pt idx="6" c:formatCode="yyyy/m/dd">
                  <c:v>44081</c:v>
                </c:pt>
                <c:pt idx="7" c:formatCode="yyyy/m/dd">
                  <c:v>44082</c:v>
                </c:pt>
                <c:pt idx="8" c:formatCode="yyyy/m/dd">
                  <c:v>44083</c:v>
                </c:pt>
                <c:pt idx="9" c:formatCode="yyyy/m/dd">
                  <c:v>44084</c:v>
                </c:pt>
                <c:pt idx="10" c:formatCode="yyyy/m/dd">
                  <c:v>44085</c:v>
                </c:pt>
                <c:pt idx="11" c:formatCode="yyyy/m/dd">
                  <c:v>44086</c:v>
                </c:pt>
                <c:pt idx="12" c:formatCode="yyyy/m/dd">
                  <c:v>44087</c:v>
                </c:pt>
                <c:pt idx="13" c:formatCode="yyyy/m/dd">
                  <c:v>44088</c:v>
                </c:pt>
                <c:pt idx="14" c:formatCode="yyyy/m/dd">
                  <c:v>44089</c:v>
                </c:pt>
                <c:pt idx="15" c:formatCode="yyyy/m/dd">
                  <c:v>44090</c:v>
                </c:pt>
                <c:pt idx="16" c:formatCode="yyyy/m/dd">
                  <c:v>44091</c:v>
                </c:pt>
                <c:pt idx="17" c:formatCode="yyyy/m/dd">
                  <c:v>44092</c:v>
                </c:pt>
                <c:pt idx="18" c:formatCode="yyyy/m/dd">
                  <c:v>44093</c:v>
                </c:pt>
                <c:pt idx="19" c:formatCode="yyyy/m/dd">
                  <c:v>44094</c:v>
                </c:pt>
                <c:pt idx="20" c:formatCode="yyyy/m/dd">
                  <c:v>44095</c:v>
                </c:pt>
                <c:pt idx="21" c:formatCode="yyyy/m/dd">
                  <c:v>44096</c:v>
                </c:pt>
                <c:pt idx="22" c:formatCode="yyyy/m/dd">
                  <c:v>44097</c:v>
                </c:pt>
                <c:pt idx="23" c:formatCode="yyyy/m/dd">
                  <c:v>44098</c:v>
                </c:pt>
                <c:pt idx="24" c:formatCode="yyyy/m/dd">
                  <c:v>44099</c:v>
                </c:pt>
                <c:pt idx="25" c:formatCode="yyyy/m/dd">
                  <c:v>44100</c:v>
                </c:pt>
                <c:pt idx="26" c:formatCode="yyyy/m/dd">
                  <c:v>44101</c:v>
                </c:pt>
                <c:pt idx="27" c:formatCode="yyyy/m/dd">
                  <c:v>44102</c:v>
                </c:pt>
                <c:pt idx="28" c:formatCode="yyyy/m/dd">
                  <c:v>44103</c:v>
                </c:pt>
                <c:pt idx="29" c:formatCode="yyyy/m/dd">
                  <c:v>44104</c:v>
                </c:pt>
              </c:numCache>
            </c:numRef>
          </c:cat>
          <c:val>
            <c:numRef>
              <c:f>'2020年'!$D$4:$D$33</c:f>
              <c:numCache>
                <c:formatCode>General</c:formatCode>
                <c:ptCount val="30"/>
                <c:pt idx="0">
                  <c:v>43</c:v>
                </c:pt>
                <c:pt idx="1">
                  <c:v>53</c:v>
                </c:pt>
                <c:pt idx="2">
                  <c:v>63</c:v>
                </c:pt>
                <c:pt idx="3">
                  <c:v>49</c:v>
                </c:pt>
                <c:pt idx="4">
                  <c:v>36</c:v>
                </c:pt>
                <c:pt idx="5">
                  <c:v>50</c:v>
                </c:pt>
                <c:pt idx="6">
                  <c:v>49</c:v>
                </c:pt>
                <c:pt idx="7">
                  <c:v>33</c:v>
                </c:pt>
                <c:pt idx="8">
                  <c:v>32</c:v>
                </c:pt>
                <c:pt idx="9">
                  <c:v>25</c:v>
                </c:pt>
                <c:pt idx="10">
                  <c:v>37</c:v>
                </c:pt>
                <c:pt idx="11">
                  <c:v>22</c:v>
                </c:pt>
                <c:pt idx="12">
                  <c:v>19</c:v>
                </c:pt>
                <c:pt idx="13">
                  <c:v>27</c:v>
                </c:pt>
                <c:pt idx="14">
                  <c:v>34</c:v>
                </c:pt>
                <c:pt idx="15">
                  <c:v>30</c:v>
                </c:pt>
                <c:pt idx="16">
                  <c:v>32</c:v>
                </c:pt>
                <c:pt idx="17">
                  <c:v>31</c:v>
                </c:pt>
                <c:pt idx="18">
                  <c:v>17</c:v>
                </c:pt>
                <c:pt idx="19">
                  <c:v>17</c:v>
                </c:pt>
                <c:pt idx="20">
                  <c:v>24</c:v>
                </c:pt>
                <c:pt idx="21">
                  <c:v>36</c:v>
                </c:pt>
                <c:pt idx="22">
                  <c:v>32</c:v>
                </c:pt>
                <c:pt idx="23">
                  <c:v>17</c:v>
                </c:pt>
                <c:pt idx="24">
                  <c:v>24</c:v>
                </c:pt>
                <c:pt idx="25">
                  <c:v>26</c:v>
                </c:pt>
                <c:pt idx="26">
                  <c:v>21</c:v>
                </c:pt>
                <c:pt idx="27">
                  <c:v>29</c:v>
                </c:pt>
                <c:pt idx="28">
                  <c:v>42</c:v>
                </c:pt>
                <c:pt idx="29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109696"/>
        <c:axId val="135987968"/>
      </c:lineChart>
      <c:dateAx>
        <c:axId val="138109696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5987968"/>
        <c:crosses val="autoZero"/>
        <c:auto val="1"/>
        <c:lblOffset val="100"/>
        <c:baseTimeUnit val="days"/>
      </c:dateAx>
      <c:valAx>
        <c:axId val="13598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8109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31689969828538"/>
          <c:y val="0.0467667807346867"/>
          <c:w val="0.278590404003238"/>
          <c:h val="0.0569584814556408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97000374953131"/>
          <c:y val="0.0300270985396602"/>
          <c:w val="0.928759346258189"/>
          <c:h val="0.798273572801372"/>
        </c:manualLayout>
      </c:layout>
      <c:lineChart>
        <c:grouping val="standard"/>
        <c:varyColors val="0"/>
        <c:ser>
          <c:idx val="0"/>
          <c:order val="0"/>
          <c:tx>
            <c:strRef>
              <c:f>'2020年'!$E$3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44075</c:v>
                </c:pt>
                <c:pt idx="1" c:formatCode="yyyy/m/dd">
                  <c:v>44076</c:v>
                </c:pt>
                <c:pt idx="2" c:formatCode="yyyy/m/dd">
                  <c:v>44077</c:v>
                </c:pt>
                <c:pt idx="3" c:formatCode="yyyy/m/dd">
                  <c:v>44078</c:v>
                </c:pt>
                <c:pt idx="4" c:formatCode="yyyy/m/dd">
                  <c:v>44079</c:v>
                </c:pt>
                <c:pt idx="5" c:formatCode="yyyy/m/dd">
                  <c:v>44080</c:v>
                </c:pt>
                <c:pt idx="6" c:formatCode="yyyy/m/dd">
                  <c:v>44081</c:v>
                </c:pt>
                <c:pt idx="7" c:formatCode="yyyy/m/dd">
                  <c:v>44082</c:v>
                </c:pt>
                <c:pt idx="8" c:formatCode="yyyy/m/dd">
                  <c:v>44083</c:v>
                </c:pt>
                <c:pt idx="9" c:formatCode="yyyy/m/dd">
                  <c:v>44084</c:v>
                </c:pt>
                <c:pt idx="10" c:formatCode="yyyy/m/dd">
                  <c:v>44085</c:v>
                </c:pt>
                <c:pt idx="11" c:formatCode="yyyy/m/dd">
                  <c:v>44086</c:v>
                </c:pt>
                <c:pt idx="12" c:formatCode="yyyy/m/dd">
                  <c:v>44087</c:v>
                </c:pt>
                <c:pt idx="13" c:formatCode="yyyy/m/dd">
                  <c:v>44088</c:v>
                </c:pt>
                <c:pt idx="14" c:formatCode="yyyy/m/dd">
                  <c:v>44089</c:v>
                </c:pt>
                <c:pt idx="15" c:formatCode="yyyy/m/dd">
                  <c:v>44090</c:v>
                </c:pt>
                <c:pt idx="16" c:formatCode="yyyy/m/dd">
                  <c:v>44091</c:v>
                </c:pt>
                <c:pt idx="17" c:formatCode="yyyy/m/dd">
                  <c:v>44092</c:v>
                </c:pt>
                <c:pt idx="18" c:formatCode="yyyy/m/dd">
                  <c:v>44093</c:v>
                </c:pt>
                <c:pt idx="19" c:formatCode="yyyy/m/dd">
                  <c:v>44094</c:v>
                </c:pt>
                <c:pt idx="20" c:formatCode="yyyy/m/dd">
                  <c:v>44095</c:v>
                </c:pt>
                <c:pt idx="21" c:formatCode="yyyy/m/dd">
                  <c:v>44096</c:v>
                </c:pt>
                <c:pt idx="22" c:formatCode="yyyy/m/dd">
                  <c:v>44097</c:v>
                </c:pt>
                <c:pt idx="23" c:formatCode="yyyy/m/dd">
                  <c:v>44098</c:v>
                </c:pt>
                <c:pt idx="24" c:formatCode="yyyy/m/dd">
                  <c:v>44099</c:v>
                </c:pt>
                <c:pt idx="25" c:formatCode="yyyy/m/dd">
                  <c:v>44100</c:v>
                </c:pt>
                <c:pt idx="26" c:formatCode="yyyy/m/dd">
                  <c:v>44101</c:v>
                </c:pt>
                <c:pt idx="27" c:formatCode="yyyy/m/dd">
                  <c:v>44102</c:v>
                </c:pt>
                <c:pt idx="28" c:formatCode="yyyy/m/dd">
                  <c:v>44103</c:v>
                </c:pt>
                <c:pt idx="29" c:formatCode="yyyy/m/dd">
                  <c:v>44104</c:v>
                </c:pt>
              </c:numCache>
            </c:numRef>
          </c:cat>
          <c:val>
            <c:numRef>
              <c:f>'2020年'!$E$4:$E$33</c:f>
              <c:numCache>
                <c:formatCode>General</c:formatCode>
                <c:ptCount val="30"/>
                <c:pt idx="0">
                  <c:v>1.1</c:v>
                </c:pt>
                <c:pt idx="1">
                  <c:v>1.1</c:v>
                </c:pt>
                <c:pt idx="2">
                  <c:v>1</c:v>
                </c:pt>
                <c:pt idx="3">
                  <c:v>1</c:v>
                </c:pt>
                <c:pt idx="4">
                  <c:v>1.1</c:v>
                </c:pt>
                <c:pt idx="5">
                  <c:v>1</c:v>
                </c:pt>
                <c:pt idx="6">
                  <c:v>1.1</c:v>
                </c:pt>
                <c:pt idx="7">
                  <c:v>1</c:v>
                </c:pt>
                <c:pt idx="8">
                  <c:v>0</c:v>
                </c:pt>
                <c:pt idx="9">
                  <c:v>1.1</c:v>
                </c:pt>
                <c:pt idx="10">
                  <c:v>0.8</c:v>
                </c:pt>
                <c:pt idx="11">
                  <c:v>0.7</c:v>
                </c:pt>
                <c:pt idx="12">
                  <c:v>0.8</c:v>
                </c:pt>
                <c:pt idx="13">
                  <c:v>0.8</c:v>
                </c:pt>
                <c:pt idx="14">
                  <c:v>0.8</c:v>
                </c:pt>
                <c:pt idx="15">
                  <c:v>0.7</c:v>
                </c:pt>
                <c:pt idx="16">
                  <c:v>0.6</c:v>
                </c:pt>
                <c:pt idx="17">
                  <c:v>0.6</c:v>
                </c:pt>
                <c:pt idx="18">
                  <c:v>0.6</c:v>
                </c:pt>
                <c:pt idx="19">
                  <c:v>0.6</c:v>
                </c:pt>
                <c:pt idx="20">
                  <c:v>0.8</c:v>
                </c:pt>
                <c:pt idx="21">
                  <c:v>0.9</c:v>
                </c:pt>
                <c:pt idx="22">
                  <c:v>0.8</c:v>
                </c:pt>
                <c:pt idx="23">
                  <c:v>0.7</c:v>
                </c:pt>
                <c:pt idx="24">
                  <c:v>0.8</c:v>
                </c:pt>
                <c:pt idx="25">
                  <c:v>0.7</c:v>
                </c:pt>
                <c:pt idx="26">
                  <c:v>0.7</c:v>
                </c:pt>
                <c:pt idx="27">
                  <c:v>0.8</c:v>
                </c:pt>
                <c:pt idx="28">
                  <c:v>0.9</c:v>
                </c:pt>
                <c:pt idx="29">
                  <c:v>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'2020年'!$F$3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44075</c:v>
                </c:pt>
                <c:pt idx="1" c:formatCode="yyyy/m/dd">
                  <c:v>44076</c:v>
                </c:pt>
                <c:pt idx="2" c:formatCode="yyyy/m/dd">
                  <c:v>44077</c:v>
                </c:pt>
                <c:pt idx="3" c:formatCode="yyyy/m/dd">
                  <c:v>44078</c:v>
                </c:pt>
                <c:pt idx="4" c:formatCode="yyyy/m/dd">
                  <c:v>44079</c:v>
                </c:pt>
                <c:pt idx="5" c:formatCode="yyyy/m/dd">
                  <c:v>44080</c:v>
                </c:pt>
                <c:pt idx="6" c:formatCode="yyyy/m/dd">
                  <c:v>44081</c:v>
                </c:pt>
                <c:pt idx="7" c:formatCode="yyyy/m/dd">
                  <c:v>44082</c:v>
                </c:pt>
                <c:pt idx="8" c:formatCode="yyyy/m/dd">
                  <c:v>44083</c:v>
                </c:pt>
                <c:pt idx="9" c:formatCode="yyyy/m/dd">
                  <c:v>44084</c:v>
                </c:pt>
                <c:pt idx="10" c:formatCode="yyyy/m/dd">
                  <c:v>44085</c:v>
                </c:pt>
                <c:pt idx="11" c:formatCode="yyyy/m/dd">
                  <c:v>44086</c:v>
                </c:pt>
                <c:pt idx="12" c:formatCode="yyyy/m/dd">
                  <c:v>44087</c:v>
                </c:pt>
                <c:pt idx="13" c:formatCode="yyyy/m/dd">
                  <c:v>44088</c:v>
                </c:pt>
                <c:pt idx="14" c:formatCode="yyyy/m/dd">
                  <c:v>44089</c:v>
                </c:pt>
                <c:pt idx="15" c:formatCode="yyyy/m/dd">
                  <c:v>44090</c:v>
                </c:pt>
                <c:pt idx="16" c:formatCode="yyyy/m/dd">
                  <c:v>44091</c:v>
                </c:pt>
                <c:pt idx="17" c:formatCode="yyyy/m/dd">
                  <c:v>44092</c:v>
                </c:pt>
                <c:pt idx="18" c:formatCode="yyyy/m/dd">
                  <c:v>44093</c:v>
                </c:pt>
                <c:pt idx="19" c:formatCode="yyyy/m/dd">
                  <c:v>44094</c:v>
                </c:pt>
                <c:pt idx="20" c:formatCode="yyyy/m/dd">
                  <c:v>44095</c:v>
                </c:pt>
                <c:pt idx="21" c:formatCode="yyyy/m/dd">
                  <c:v>44096</c:v>
                </c:pt>
                <c:pt idx="22" c:formatCode="yyyy/m/dd">
                  <c:v>44097</c:v>
                </c:pt>
                <c:pt idx="23" c:formatCode="yyyy/m/dd">
                  <c:v>44098</c:v>
                </c:pt>
                <c:pt idx="24" c:formatCode="yyyy/m/dd">
                  <c:v>44099</c:v>
                </c:pt>
                <c:pt idx="25" c:formatCode="yyyy/m/dd">
                  <c:v>44100</c:v>
                </c:pt>
                <c:pt idx="26" c:formatCode="yyyy/m/dd">
                  <c:v>44101</c:v>
                </c:pt>
                <c:pt idx="27" c:formatCode="yyyy/m/dd">
                  <c:v>44102</c:v>
                </c:pt>
                <c:pt idx="28" c:formatCode="yyyy/m/dd">
                  <c:v>44103</c:v>
                </c:pt>
                <c:pt idx="29" c:formatCode="yyyy/m/dd">
                  <c:v>44104</c:v>
                </c:pt>
              </c:numCache>
            </c:numRef>
          </c:cat>
          <c:val>
            <c:numRef>
              <c:f>'2020年'!$F$4:$F$33</c:f>
              <c:numCache>
                <c:formatCode>General</c:formatCode>
                <c:ptCount val="30"/>
                <c:pt idx="0">
                  <c:v>20</c:v>
                </c:pt>
                <c:pt idx="1">
                  <c:v>32</c:v>
                </c:pt>
                <c:pt idx="2">
                  <c:v>40</c:v>
                </c:pt>
                <c:pt idx="3">
                  <c:v>29</c:v>
                </c:pt>
                <c:pt idx="4">
                  <c:v>20</c:v>
                </c:pt>
                <c:pt idx="5">
                  <c:v>29</c:v>
                </c:pt>
                <c:pt idx="6">
                  <c:v>27</c:v>
                </c:pt>
                <c:pt idx="7">
                  <c:v>16</c:v>
                </c:pt>
                <c:pt idx="8">
                  <c:v>0</c:v>
                </c:pt>
                <c:pt idx="9">
                  <c:v>12</c:v>
                </c:pt>
                <c:pt idx="10">
                  <c:v>13</c:v>
                </c:pt>
                <c:pt idx="11">
                  <c:v>9</c:v>
                </c:pt>
                <c:pt idx="12">
                  <c:v>9</c:v>
                </c:pt>
                <c:pt idx="13">
                  <c:v>16</c:v>
                </c:pt>
                <c:pt idx="14">
                  <c:v>15</c:v>
                </c:pt>
                <c:pt idx="15">
                  <c:v>14</c:v>
                </c:pt>
                <c:pt idx="16">
                  <c:v>11</c:v>
                </c:pt>
                <c:pt idx="17">
                  <c:v>12</c:v>
                </c:pt>
                <c:pt idx="18">
                  <c:v>7</c:v>
                </c:pt>
                <c:pt idx="19">
                  <c:v>8</c:v>
                </c:pt>
                <c:pt idx="20">
                  <c:v>11</c:v>
                </c:pt>
                <c:pt idx="21">
                  <c:v>21</c:v>
                </c:pt>
                <c:pt idx="22">
                  <c:v>21</c:v>
                </c:pt>
                <c:pt idx="23">
                  <c:v>8</c:v>
                </c:pt>
                <c:pt idx="24">
                  <c:v>11</c:v>
                </c:pt>
                <c:pt idx="25">
                  <c:v>15</c:v>
                </c:pt>
                <c:pt idx="26">
                  <c:v>14</c:v>
                </c:pt>
                <c:pt idx="27">
                  <c:v>13</c:v>
                </c:pt>
                <c:pt idx="28">
                  <c:v>19</c:v>
                </c:pt>
                <c:pt idx="29">
                  <c:v>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'2020年'!$G$3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44075</c:v>
                </c:pt>
                <c:pt idx="1" c:formatCode="yyyy/m/dd">
                  <c:v>44076</c:v>
                </c:pt>
                <c:pt idx="2" c:formatCode="yyyy/m/dd">
                  <c:v>44077</c:v>
                </c:pt>
                <c:pt idx="3" c:formatCode="yyyy/m/dd">
                  <c:v>44078</c:v>
                </c:pt>
                <c:pt idx="4" c:formatCode="yyyy/m/dd">
                  <c:v>44079</c:v>
                </c:pt>
                <c:pt idx="5" c:formatCode="yyyy/m/dd">
                  <c:v>44080</c:v>
                </c:pt>
                <c:pt idx="6" c:formatCode="yyyy/m/dd">
                  <c:v>44081</c:v>
                </c:pt>
                <c:pt idx="7" c:formatCode="yyyy/m/dd">
                  <c:v>44082</c:v>
                </c:pt>
                <c:pt idx="8" c:formatCode="yyyy/m/dd">
                  <c:v>44083</c:v>
                </c:pt>
                <c:pt idx="9" c:formatCode="yyyy/m/dd">
                  <c:v>44084</c:v>
                </c:pt>
                <c:pt idx="10" c:formatCode="yyyy/m/dd">
                  <c:v>44085</c:v>
                </c:pt>
                <c:pt idx="11" c:formatCode="yyyy/m/dd">
                  <c:v>44086</c:v>
                </c:pt>
                <c:pt idx="12" c:formatCode="yyyy/m/dd">
                  <c:v>44087</c:v>
                </c:pt>
                <c:pt idx="13" c:formatCode="yyyy/m/dd">
                  <c:v>44088</c:v>
                </c:pt>
                <c:pt idx="14" c:formatCode="yyyy/m/dd">
                  <c:v>44089</c:v>
                </c:pt>
                <c:pt idx="15" c:formatCode="yyyy/m/dd">
                  <c:v>44090</c:v>
                </c:pt>
                <c:pt idx="16" c:formatCode="yyyy/m/dd">
                  <c:v>44091</c:v>
                </c:pt>
                <c:pt idx="17" c:formatCode="yyyy/m/dd">
                  <c:v>44092</c:v>
                </c:pt>
                <c:pt idx="18" c:formatCode="yyyy/m/dd">
                  <c:v>44093</c:v>
                </c:pt>
                <c:pt idx="19" c:formatCode="yyyy/m/dd">
                  <c:v>44094</c:v>
                </c:pt>
                <c:pt idx="20" c:formatCode="yyyy/m/dd">
                  <c:v>44095</c:v>
                </c:pt>
                <c:pt idx="21" c:formatCode="yyyy/m/dd">
                  <c:v>44096</c:v>
                </c:pt>
                <c:pt idx="22" c:formatCode="yyyy/m/dd">
                  <c:v>44097</c:v>
                </c:pt>
                <c:pt idx="23" c:formatCode="yyyy/m/dd">
                  <c:v>44098</c:v>
                </c:pt>
                <c:pt idx="24" c:formatCode="yyyy/m/dd">
                  <c:v>44099</c:v>
                </c:pt>
                <c:pt idx="25" c:formatCode="yyyy/m/dd">
                  <c:v>44100</c:v>
                </c:pt>
                <c:pt idx="26" c:formatCode="yyyy/m/dd">
                  <c:v>44101</c:v>
                </c:pt>
                <c:pt idx="27" c:formatCode="yyyy/m/dd">
                  <c:v>44102</c:v>
                </c:pt>
                <c:pt idx="28" c:formatCode="yyyy/m/dd">
                  <c:v>44103</c:v>
                </c:pt>
                <c:pt idx="29" c:formatCode="yyyy/m/dd">
                  <c:v>44104</c:v>
                </c:pt>
              </c:numCache>
            </c:numRef>
          </c:cat>
          <c:val>
            <c:numRef>
              <c:f>'2020年'!$G$4:$G$33</c:f>
              <c:numCache>
                <c:formatCode>General</c:formatCode>
                <c:ptCount val="30"/>
                <c:pt idx="0">
                  <c:v>72</c:v>
                </c:pt>
                <c:pt idx="1">
                  <c:v>94</c:v>
                </c:pt>
                <c:pt idx="2">
                  <c:v>127</c:v>
                </c:pt>
                <c:pt idx="3">
                  <c:v>124</c:v>
                </c:pt>
                <c:pt idx="4">
                  <c:v>100</c:v>
                </c:pt>
                <c:pt idx="5">
                  <c:v>86</c:v>
                </c:pt>
                <c:pt idx="6">
                  <c:v>82</c:v>
                </c:pt>
                <c:pt idx="7">
                  <c:v>64</c:v>
                </c:pt>
                <c:pt idx="8">
                  <c:v>0</c:v>
                </c:pt>
                <c:pt idx="9">
                  <c:v>94</c:v>
                </c:pt>
                <c:pt idx="10">
                  <c:v>63</c:v>
                </c:pt>
                <c:pt idx="11">
                  <c:v>60</c:v>
                </c:pt>
                <c:pt idx="12">
                  <c:v>57</c:v>
                </c:pt>
                <c:pt idx="13">
                  <c:v>77</c:v>
                </c:pt>
                <c:pt idx="14">
                  <c:v>83</c:v>
                </c:pt>
                <c:pt idx="15">
                  <c:v>51</c:v>
                </c:pt>
                <c:pt idx="16">
                  <c:v>44</c:v>
                </c:pt>
                <c:pt idx="17">
                  <c:v>25</c:v>
                </c:pt>
                <c:pt idx="18">
                  <c:v>42</c:v>
                </c:pt>
                <c:pt idx="19">
                  <c:v>46</c:v>
                </c:pt>
                <c:pt idx="20">
                  <c:v>82</c:v>
                </c:pt>
                <c:pt idx="21">
                  <c:v>86</c:v>
                </c:pt>
                <c:pt idx="22">
                  <c:v>68</c:v>
                </c:pt>
                <c:pt idx="23">
                  <c:v>68</c:v>
                </c:pt>
                <c:pt idx="24">
                  <c:v>47</c:v>
                </c:pt>
                <c:pt idx="25">
                  <c:v>73</c:v>
                </c:pt>
                <c:pt idx="26">
                  <c:v>64</c:v>
                </c:pt>
                <c:pt idx="27">
                  <c:v>40</c:v>
                </c:pt>
                <c:pt idx="28">
                  <c:v>70</c:v>
                </c:pt>
                <c:pt idx="29">
                  <c:v>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033792"/>
        <c:axId val="136035328"/>
      </c:lineChart>
      <c:dateAx>
        <c:axId val="136033792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6035328"/>
        <c:crosses val="autoZero"/>
        <c:auto val="1"/>
        <c:lblOffset val="100"/>
        <c:baseTimeUnit val="days"/>
      </c:dateAx>
      <c:valAx>
        <c:axId val="13603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603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83221288515406"/>
          <c:y val="0.0534161728769705"/>
          <c:w val="0.277843137254902"/>
          <c:h val="0.0439452066463294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4B186-C837-4FB7-88CD-6969A529E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20</Pages>
  <Words>1371</Words>
  <Characters>7819</Characters>
  <Lines>65</Lines>
  <Paragraphs>18</Paragraphs>
  <TotalTime>10</TotalTime>
  <ScaleCrop>false</ScaleCrop>
  <LinksUpToDate>false</LinksUpToDate>
  <CharactersWithSpaces>9172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远远</cp:lastModifiedBy>
  <cp:lastPrinted>2020-10-20T07:24:27Z</cp:lastPrinted>
  <dcterms:modified xsi:type="dcterms:W3CDTF">2020-10-20T07:31:36Z</dcterms:modified>
  <dc:title>梅州市环境状况月报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