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A8989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595D0EDD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CACC238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412612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7E412612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根据国家、省、市环境监测方案的要求，20</w:t>
      </w:r>
      <w:r>
        <w:rPr>
          <w:rFonts w:hint="eastAsia" w:eastAsia="幼圆"/>
          <w:sz w:val="28"/>
          <w:szCs w:val="28"/>
        </w:rPr>
        <w:t>24</w:t>
      </w:r>
      <w:r>
        <w:rPr>
          <w:rFonts w:eastAsia="幼圆"/>
          <w:sz w:val="28"/>
          <w:szCs w:val="28"/>
        </w:rPr>
        <w:t>年</w:t>
      </w:r>
      <w:r>
        <w:rPr>
          <w:rFonts w:hint="eastAsia" w:eastAsia="幼圆"/>
          <w:sz w:val="28"/>
          <w:szCs w:val="28"/>
          <w:lang w:val="en-US" w:eastAsia="zh-CN"/>
        </w:rPr>
        <w:t>11</w:t>
      </w:r>
      <w:r>
        <w:rPr>
          <w:rFonts w:eastAsia="幼圆"/>
          <w:sz w:val="28"/>
          <w:szCs w:val="28"/>
        </w:rPr>
        <w:t>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A0293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17EF6FE2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7E76E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EDDE881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318DA9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DC4C76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26C23D7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B8296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E8F21B5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028DD8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p w14:paraId="14ED8E33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-239256999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730205753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303741154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宋体" w:hAnsi="宋体"/>
                                                      <w:sz w:val="44"/>
                                                      <w:szCs w:val="44"/>
                                                    </w:rPr>
                                                    <w:id w:val="147455427"/>
                                                    <w:docPartObj>
                                                      <w:docPartGallery w:val="Table of Contents"/>
                                                      <w:docPartUnique/>
                                                    </w:docPartObj>
                                                  </w:sdtPr>
                                                  <w:sdtEndPr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sdtEndPr>
                                                  <w:sdtContent>
                                                    <w:p w14:paraId="1246D966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目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 xml:space="preserve">     </w:t>
                                                      </w: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录</w:t>
                                                      </w:r>
                                                    </w:p>
                                                    <w:p w14:paraId="4E4CD249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</w:p>
                                                    <w:p w14:paraId="2247391A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TOC \o "1-3" \h \u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"_Toc16135"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一、环境质量概况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73864201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"_Toc28291"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二、空气环境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7100B7A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县域环境空气质量状况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310830DC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"_Toc29194"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三、降水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74B40AF4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"_Toc15844"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四、水环境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13F8A52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（一）广东省地表水环境功能区划水质状况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42C18E4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（二）跨界断面水质状况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0</w:t>
                                                      </w:r>
                                                    </w:p>
                                                    <w:p w14:paraId="46992006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三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）国（省）考（控）断面水质状况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D880B4A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（四）城市饮用水源水质状况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55DAEC31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"_Toc24320"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五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）重点水库水质状况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_Toc24320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14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0A5341E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"_Toc6090"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（六）城区河流断面水质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_Toc6090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75457823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"_Toc30814"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（七）石寨河水质状况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64864DB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"_Toc12430"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（八）石窟河一级支流水质状况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6</w:t>
                                                      </w:r>
                                                    </w:p>
                                                    <w:p w14:paraId="2F7C50A7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"_Toc14026"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【五、各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乡镇环境质量状况】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17</w:t>
                                                      </w:r>
                                                    </w:p>
                                                    <w:p w14:paraId="5109102E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"_Toc13713"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水环境质量状况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69677D5D">
                                                      <w:pPr>
                                                        <w:spacing w:line="360" w:lineRule="auto"/>
                                                        <w:rPr>
                                                          <w:rFonts w:ascii="宋体" w:hAnsi="宋体"/>
                                                          <w:color w:val="FF0000"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fldChar w:fldCharType="end"/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14:paraId="3723F2B2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</w:p>
                                              </w:sdtContent>
                                            </w:sdt>
                                            <w:p w14:paraId="65A171AA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211C5599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174FD927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2C69D34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2DE80DF2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41E6A4D3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C8993C8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09761312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58A915D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p w14:paraId="760A1D7F">
      <w:pPr>
        <w:spacing w:line="360" w:lineRule="auto"/>
        <w:jc w:val="center"/>
      </w:pPr>
      <w:bookmarkStart w:id="0" w:name="_Toc511201401"/>
      <w:bookmarkStart w:id="1" w:name="_Toc16135"/>
      <w:bookmarkStart w:id="2" w:name="OLE_LINK3"/>
    </w:p>
    <w:p w14:paraId="7B98219E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70CDF820">
      <w:pPr>
        <w:adjustRightInd w:val="0"/>
        <w:snapToGrid w:val="0"/>
        <w:spacing w:line="560" w:lineRule="exact"/>
        <w:ind w:firstLine="60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2024年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月全县环境质量总体保持良好水平。空气质量达标天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数比例（优良率）为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。本月降水pH均值为6.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，高于酸雨临界值（pH＜5.6）。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本县城区饮用水源地水质良好，达标率为100%。全县7个主要河段石窟河（园丰大桥、长兴电站、长潭水库、长潭、三圳、新铺、新铺-白渡沙坪），溪峰河（溪峰河出口），石寨河（榕树下），跨界河流柚树河（犁壁滩）、乐干河（福塔大桥）、松源河（园潭）、象洞溪（羊角电站）、多宝水库以及饮用水源地（黄竹坪-龙潭水库）共15个监测断面中有13个断面水质达到水环境功能区类别，达标率为87%。全县各镇21个监测断面水质达标率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</w:t>
      </w:r>
    </w:p>
    <w:p w14:paraId="484898D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 w14:paraId="1C59B343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</w:p>
    <w:p w14:paraId="63A7D217"/>
    <w:p w14:paraId="0E258CFD"/>
    <w:p w14:paraId="1346FC34"/>
    <w:p w14:paraId="29CCA818"/>
    <w:p w14:paraId="3F5933F0"/>
    <w:p w14:paraId="24A4C153"/>
    <w:p w14:paraId="2F7FD39B"/>
    <w:p w14:paraId="45B9A04E"/>
    <w:p w14:paraId="5C5C22B4"/>
    <w:p w14:paraId="57C11DE4"/>
    <w:p w14:paraId="3A8AF25A"/>
    <w:p w14:paraId="768B4274"/>
    <w:p w14:paraId="3E770C6D"/>
    <w:p w14:paraId="70FF5B9D"/>
    <w:p w14:paraId="3D199559"/>
    <w:p w14:paraId="683ADEA4"/>
    <w:p w14:paraId="6AA64005"/>
    <w:p w14:paraId="238EF247"/>
    <w:p w14:paraId="6DE0E6E3"/>
    <w:p w14:paraId="5531D62A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5DDAAE62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456174383"/>
      <w:bookmarkStart w:id="7" w:name="_Toc51120140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475A0ABC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636FB903">
      <w:pPr>
        <w:pStyle w:val="27"/>
        <w:spacing w:line="360" w:lineRule="auto"/>
        <w:ind w:firstLine="640"/>
        <w:rPr>
          <w:rFonts w:ascii="Times New Roman" w:hAnsi="Times New Roman" w:eastAsiaTheme="minorEastAsia"/>
          <w:sz w:val="30"/>
          <w:szCs w:val="30"/>
        </w:rPr>
      </w:pPr>
      <w:r>
        <w:rPr>
          <w:rFonts w:ascii="Times New Roman" w:hAnsi="Times New Roman" w:eastAsiaTheme="minorEastAsia"/>
          <w:sz w:val="30"/>
          <w:szCs w:val="30"/>
        </w:rPr>
        <w:t>20</w:t>
      </w:r>
      <w:r>
        <w:rPr>
          <w:rFonts w:hint="eastAsia" w:ascii="Times New Roman" w:hAnsi="Times New Roman" w:eastAsiaTheme="minorEastAsia"/>
          <w:sz w:val="30"/>
          <w:szCs w:val="30"/>
        </w:rPr>
        <w:t>2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4</w:t>
      </w:r>
      <w:r>
        <w:rPr>
          <w:rFonts w:ascii="Times New Roman" w:hAnsi="Times New Roman" w:eastAsiaTheme="minorEastAsia"/>
          <w:sz w:val="30"/>
          <w:szCs w:val="30"/>
        </w:rPr>
        <w:t>年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11</w:t>
      </w:r>
      <w:r>
        <w:rPr>
          <w:rFonts w:ascii="Times New Roman" w:hAnsi="Times New Roman" w:eastAsiaTheme="minorEastAsia"/>
          <w:sz w:val="30"/>
          <w:szCs w:val="30"/>
        </w:rPr>
        <w:t>月，蕉岭县城区SO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六项污染物日评价浓度</w:t>
      </w:r>
      <w:r>
        <w:rPr>
          <w:rFonts w:hint="eastAsia" w:ascii="Times New Roman" w:hAnsi="Times New Roman" w:eastAsiaTheme="minorEastAsia"/>
          <w:sz w:val="30"/>
          <w:szCs w:val="30"/>
        </w:rPr>
        <w:t>均</w:t>
      </w:r>
      <w:r>
        <w:rPr>
          <w:rFonts w:ascii="Times New Roman" w:hAnsi="Times New Roman" w:eastAsiaTheme="minorEastAsia"/>
          <w:sz w:val="30"/>
          <w:szCs w:val="30"/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sz w:val="30"/>
          <w:szCs w:val="30"/>
        </w:rPr>
        <w:t>100</w:t>
      </w:r>
      <w:r>
        <w:rPr>
          <w:rFonts w:ascii="Times New Roman" w:hAnsi="Times New Roman" w:eastAsiaTheme="minorEastAsia"/>
          <w:sz w:val="30"/>
          <w:szCs w:val="30"/>
        </w:rPr>
        <w:t>%，</w:t>
      </w:r>
      <w:r>
        <w:rPr>
          <w:rFonts w:hint="eastAsia" w:ascii="Times New Roman" w:hAnsi="Times New Roman" w:eastAsiaTheme="minorEastAsia"/>
          <w:sz w:val="30"/>
          <w:szCs w:val="30"/>
        </w:rPr>
        <w:t>比去年同期持平</w:t>
      </w:r>
      <w:r>
        <w:rPr>
          <w:rFonts w:ascii="Times New Roman" w:hAnsi="Times New Roman" w:eastAsiaTheme="minorEastAsia"/>
          <w:sz w:val="30"/>
          <w:szCs w:val="30"/>
        </w:rPr>
        <w:t>。空气质量优天数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25</w:t>
      </w:r>
      <w:r>
        <w:rPr>
          <w:rFonts w:ascii="Times New Roman" w:hAnsi="Times New Roman" w:eastAsiaTheme="minorEastAsia"/>
          <w:sz w:val="30"/>
          <w:szCs w:val="30"/>
        </w:rPr>
        <w:t>天，</w:t>
      </w:r>
      <w:r>
        <w:rPr>
          <w:rFonts w:hint="eastAsia" w:ascii="Times New Roman" w:hAnsi="Times New Roman" w:eastAsiaTheme="minorEastAsia"/>
          <w:sz w:val="30"/>
          <w:szCs w:val="30"/>
        </w:rPr>
        <w:t>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增加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10天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良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Theme="minorEastAsia"/>
          <w:sz w:val="30"/>
          <w:szCs w:val="30"/>
        </w:rPr>
        <w:t>天，比</w:t>
      </w:r>
      <w:r>
        <w:rPr>
          <w:rFonts w:ascii="Times New Roman" w:hAnsi="Times New Roman" w:eastAsiaTheme="minorEastAsia"/>
          <w:sz w:val="30"/>
          <w:szCs w:val="30"/>
        </w:rPr>
        <w:t>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减少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10天</w:t>
      </w:r>
      <w:r>
        <w:rPr>
          <w:rFonts w:ascii="Times New Roman" w:hAnsi="Times New Roman" w:eastAsiaTheme="minorEastAsia"/>
          <w:sz w:val="30"/>
          <w:szCs w:val="30"/>
        </w:rPr>
        <w:t>。</w:t>
      </w:r>
    </w:p>
    <w:p w14:paraId="50FF0DE6">
      <w:pPr>
        <w:pStyle w:val="27"/>
        <w:spacing w:line="360" w:lineRule="auto"/>
        <w:rPr>
          <w:rFonts w:ascii="Times New Roman" w:hAnsi="Times New Roman" w:eastAsiaTheme="minorEastAsia"/>
          <w:sz w:val="32"/>
          <w:szCs w:val="32"/>
        </w:rPr>
      </w:pP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11</w:t>
      </w:r>
      <w:r>
        <w:rPr>
          <w:rFonts w:ascii="Times New Roman" w:hAnsi="Times New Roman" w:eastAsiaTheme="minorEastAsia"/>
          <w:sz w:val="30"/>
          <w:szCs w:val="30"/>
        </w:rPr>
        <w:t>月份SO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平均浓度为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上升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；NO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平均浓度为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20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上升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；PM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平均浓度为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34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上升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3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；PM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平均浓度为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17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持平</w:t>
      </w:r>
      <w:r>
        <w:rPr>
          <w:rFonts w:ascii="Times New Roman" w:hAnsi="Times New Roman" w:eastAsiaTheme="minorEastAsia"/>
          <w:sz w:val="30"/>
          <w:szCs w:val="30"/>
        </w:rPr>
        <w:t>；O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-8h评价浓度为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93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Theme="minorEastAsia"/>
          <w:sz w:val="30"/>
          <w:szCs w:val="30"/>
        </w:rPr>
        <w:t>月</w:t>
      </w:r>
      <w:r>
        <w:rPr>
          <w:rFonts w:ascii="Times New Roman" w:hAnsi="Times New Roman" w:eastAsiaTheme="minorEastAsia"/>
          <w:sz w:val="30"/>
          <w:szCs w:val="30"/>
        </w:rPr>
        <w:t>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下降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μg/m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；CO评价浓度为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0.8</w:t>
      </w:r>
      <w:r>
        <w:rPr>
          <w:rFonts w:hint="eastAsia" w:ascii="Times New Roman" w:hAnsi="Times New Roman" w:eastAsiaTheme="minorEastAsia"/>
          <w:sz w:val="30"/>
          <w:szCs w:val="30"/>
        </w:rPr>
        <w:t>m</w:t>
      </w:r>
      <w:r>
        <w:rPr>
          <w:rFonts w:ascii="Times New Roman" w:hAnsi="Times New Roman" w:eastAsiaTheme="minorEastAsia"/>
          <w:sz w:val="30"/>
          <w:szCs w:val="30"/>
        </w:rPr>
        <w:t>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，</w:t>
      </w:r>
      <w:r>
        <w:rPr>
          <w:rFonts w:hint="eastAsia" w:ascii="Times New Roman" w:hAnsi="Times New Roman" w:eastAsiaTheme="minorEastAsia"/>
          <w:sz w:val="30"/>
          <w:szCs w:val="30"/>
        </w:rPr>
        <w:t>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上升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0.2</w:t>
      </w:r>
      <w:r>
        <w:rPr>
          <w:rFonts w:hint="eastAsia" w:ascii="Times New Roman" w:hAnsi="Times New Roman" w:eastAsiaTheme="minorEastAsia"/>
          <w:sz w:val="30"/>
          <w:szCs w:val="30"/>
        </w:rPr>
        <w:t>m</w:t>
      </w:r>
      <w:r>
        <w:rPr>
          <w:rFonts w:ascii="Times New Roman" w:hAnsi="Times New Roman" w:eastAsiaTheme="minorEastAsia"/>
          <w:sz w:val="30"/>
          <w:szCs w:val="30"/>
        </w:rPr>
        <w:t>g/m</w:t>
      </w:r>
      <w:r>
        <w:rPr>
          <w:rFonts w:ascii="Times New Roman" w:hAnsi="Times New Roman" w:eastAsiaTheme="minorEastAsia"/>
          <w:sz w:val="30"/>
          <w:szCs w:val="30"/>
          <w:vertAlign w:val="super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。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Theme="minorEastAsia"/>
          <w:sz w:val="30"/>
          <w:szCs w:val="30"/>
        </w:rPr>
        <w:t>月份空气质量综合指数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2.44</w:t>
      </w:r>
      <w:r>
        <w:rPr>
          <w:rFonts w:hint="eastAsia" w:ascii="Times New Roman" w:hAnsi="Times New Roman" w:eastAsiaTheme="minorEastAsia"/>
          <w:sz w:val="30"/>
          <w:szCs w:val="30"/>
        </w:rPr>
        <w:t>，环比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Theme="minorEastAsia"/>
          <w:sz w:val="30"/>
          <w:szCs w:val="30"/>
        </w:rPr>
        <w:t>月份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上升了0.05</w:t>
      </w:r>
      <w:r>
        <w:rPr>
          <w:rFonts w:hint="eastAsia" w:ascii="Times New Roman" w:hAnsi="Times New Roman" w:eastAsiaTheme="minorEastAsia"/>
          <w:sz w:val="30"/>
          <w:szCs w:val="30"/>
        </w:rPr>
        <w:t>，比去年同期</w:t>
      </w: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下降了</w:t>
      </w:r>
      <w:r>
        <w:rPr>
          <w:rFonts w:hint="eastAsia" w:ascii="Times New Roman" w:hAnsi="Times New Roman" w:eastAsiaTheme="minorEastAsia"/>
          <w:sz w:val="30"/>
          <w:szCs w:val="30"/>
          <w:lang w:val="en-US" w:eastAsia="zh-CN"/>
        </w:rPr>
        <w:t>0.58</w:t>
      </w:r>
      <w:r>
        <w:rPr>
          <w:rFonts w:hint="eastAsia" w:ascii="Times New Roman" w:hAnsi="Times New Roman" w:eastAsiaTheme="minorEastAsia"/>
          <w:sz w:val="30"/>
          <w:szCs w:val="30"/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</w:t>
      </w:r>
      <w:bookmarkStart w:id="37" w:name="_GoBack"/>
      <w:bookmarkEnd w:id="37"/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EF3963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65633D02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NumType w:start="1"/>
          <w:cols w:space="720" w:num="1"/>
          <w:docGrid w:linePitch="312" w:charSpace="0"/>
        </w:sectPr>
      </w:pPr>
    </w:p>
    <w:p w14:paraId="470C003F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11</w:t>
      </w:r>
      <w:r>
        <w:rPr>
          <w:b/>
          <w:sz w:val="30"/>
          <w:szCs w:val="30"/>
        </w:rPr>
        <w:t>月份空气监测数据汇总表</w:t>
      </w:r>
    </w:p>
    <w:p w14:paraId="3E0B9311">
      <w:pPr>
        <w:spacing w:line="440" w:lineRule="exact"/>
        <w:ind w:firstLine="1205" w:firstLineChars="400"/>
        <w:rPr>
          <w:b/>
          <w:sz w:val="30"/>
          <w:szCs w:val="30"/>
        </w:rPr>
      </w:pPr>
    </w:p>
    <w:p w14:paraId="6E98E2A6">
      <w:pPr>
        <w:spacing w:line="440" w:lineRule="exact"/>
        <w:ind w:firstLine="1205" w:firstLineChars="400"/>
        <w:rPr>
          <w:b/>
          <w:sz w:val="30"/>
          <w:szCs w:val="30"/>
        </w:rPr>
      </w:pPr>
    </w:p>
    <w:tbl>
      <w:tblPr>
        <w:tblStyle w:val="1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4"/>
        <w:gridCol w:w="654"/>
        <w:gridCol w:w="745"/>
        <w:gridCol w:w="1400"/>
        <w:gridCol w:w="783"/>
        <w:gridCol w:w="867"/>
        <w:gridCol w:w="670"/>
        <w:gridCol w:w="1853"/>
      </w:tblGrid>
      <w:tr w14:paraId="348A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1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4FA82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8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3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3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19015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2F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A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0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5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11E7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C9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3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5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8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4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D1C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8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0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5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F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56A0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3F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5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F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BD6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5F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4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A2D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5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07DFA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86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臭氧8小时</w:t>
            </w:r>
          </w:p>
        </w:tc>
      </w:tr>
      <w:tr w14:paraId="0FEF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70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6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细颗粒物PM10</w:t>
            </w:r>
          </w:p>
        </w:tc>
      </w:tr>
      <w:tr w14:paraId="6825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D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5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1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9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FB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7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C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细颗粒物PM10</w:t>
            </w:r>
          </w:p>
        </w:tc>
      </w:tr>
      <w:tr w14:paraId="0D0F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D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3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1DD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F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6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F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E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F89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0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A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0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72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CE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0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C02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B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C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43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0F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2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F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9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4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38F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3D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D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0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3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037E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D7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A4C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D74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C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2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1CA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F8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D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D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DE2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6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E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B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3E9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94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1D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2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7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6DA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6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7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E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1260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DB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5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96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0F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4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D57F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5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2A0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C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9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1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4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35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99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A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A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4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细颗粒物PM10</w:t>
            </w:r>
          </w:p>
        </w:tc>
      </w:tr>
      <w:tr w14:paraId="0F1C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51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2024/11/30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5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218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7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E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8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23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44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70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88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F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4C7792D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7165C7EC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1C7B0580">
      <w:pPr>
        <w:spacing w:beforeLines="50" w:line="440" w:lineRule="exact"/>
        <w:ind w:firstLine="1205" w:firstLineChars="400"/>
        <w:rPr>
          <w:sz w:val="30"/>
          <w:szCs w:val="30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p w14:paraId="38ABB655">
      <w:pPr>
        <w:ind w:firstLine="964" w:firstLineChars="300"/>
        <w:rPr>
          <w:b/>
          <w:bCs/>
          <w:color w:val="1F497D"/>
          <w:sz w:val="32"/>
          <w:szCs w:val="32"/>
        </w:rPr>
      </w:pP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6B3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2CECE5D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4C481AE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4C070E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F4F60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0EDB3E1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19C1D7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0B639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DA8A35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630FA0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7573BDD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061D8F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343FF3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3D35629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673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80CDA8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0A38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2B4D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14F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3245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74C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1.0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31CB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A4AA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89</w:t>
            </w:r>
          </w:p>
        </w:tc>
      </w:tr>
      <w:tr w14:paraId="2E7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EE15D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70D2E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BF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856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2C3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C17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07C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5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</w:tr>
      <w:tr w14:paraId="14A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274B92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FCB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4952B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0F8DC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9CBD996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9F76A5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A58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75A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140</w:t>
            </w:r>
          </w:p>
        </w:tc>
      </w:tr>
      <w:tr w14:paraId="09D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A838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4C6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B645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26C5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5610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A55C0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AE11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CEB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sz w:val="22"/>
                <w:szCs w:val="22"/>
                <w:lang w:val="en-US" w:eastAsia="zh-CN"/>
              </w:rPr>
              <w:t>93</w:t>
            </w:r>
          </w:p>
        </w:tc>
      </w:tr>
      <w:tr w14:paraId="710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269CC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5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93.1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6A5619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CC26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49C1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2552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270BC5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E02A6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130</w:t>
            </w:r>
          </w:p>
        </w:tc>
      </w:tr>
      <w:tr w14:paraId="4C9F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5A16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46E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96638"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81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3318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BD3D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134D2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C441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</w:tr>
      <w:tr w14:paraId="50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F60D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72C21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BF6F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D05F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C6F0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3FE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1B4BB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2B6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74</w:t>
            </w:r>
          </w:p>
        </w:tc>
      </w:tr>
      <w:tr w14:paraId="71F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56E3F8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096C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7955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BBA6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DDA3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933F1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E799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58EBE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</w:tr>
      <w:tr w14:paraId="019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99D36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48D9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03C51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C6EC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82C09B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1F97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15D7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8F74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93</w:t>
            </w:r>
          </w:p>
        </w:tc>
      </w:tr>
      <w:tr w14:paraId="2685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F70B2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DD6F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B9B2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60D75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B043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4341F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849DC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A1F13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</w:tr>
      <w:tr w14:paraId="350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7D11A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7463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323F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C346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003E6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FAB60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F95F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C84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93</w:t>
            </w:r>
          </w:p>
        </w:tc>
      </w:tr>
      <w:tr w14:paraId="049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B284B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D674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BB7735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D38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5AF4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29946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7FD29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43548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FD584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1E07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F0E85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0AA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CDED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2974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152C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16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6F401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2"/>
                <w:lang w:val="en-US" w:eastAsia="zh-CN"/>
              </w:rPr>
              <w:t>97</w:t>
            </w:r>
          </w:p>
        </w:tc>
      </w:tr>
      <w:tr w14:paraId="3A9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93A5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shd w:val="clear" w:color="auto" w:fill="auto"/>
            <w:vAlign w:val="center"/>
          </w:tcPr>
          <w:p w14:paraId="1BBF112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-11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271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54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，轻度污染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2天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605EE2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5401B18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2BDA9C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25F2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C83C51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DAE8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32BCE7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0BB6A3FC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0B27042A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2241C7D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91312E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7C19267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C19267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C712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0C712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CECF750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157C28D5">
      <w:pPr>
        <w:ind w:firstLine="840" w:firstLineChars="400"/>
        <w:rPr>
          <w:b/>
          <w:bCs/>
          <w:color w:val="1F497D"/>
          <w:sz w:val="32"/>
          <w:szCs w:val="32"/>
        </w:rPr>
      </w:pPr>
      <w:r>
        <w:drawing>
          <wp:inline distT="0" distB="0" distL="114300" distR="114300">
            <wp:extent cx="8496300" cy="4547870"/>
            <wp:effectExtent l="4445" t="4445" r="14605" b="196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b/>
          <w:bCs/>
          <w:color w:val="1F497D"/>
          <w:sz w:val="32"/>
          <w:szCs w:val="32"/>
        </w:rPr>
        <w:t>2-2：空气污染物曲线图</w:t>
      </w:r>
    </w:p>
    <w:p w14:paraId="0A2F4B70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7E920DC4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6432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E920DC4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D54B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3A97EA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7456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49D54B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3A97EA3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34B17A88"/>
    <w:p w14:paraId="6FD599D6">
      <w:pPr>
        <w:jc w:val="left"/>
        <w:rPr>
          <w:rFonts w:eastAsia="仿宋"/>
          <w:sz w:val="24"/>
          <w:szCs w:val="24"/>
        </w:rPr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  <w:bookmarkStart w:id="8" w:name="_Toc29194"/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7AEB1F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CF0B8B8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今年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sz w:val="30"/>
          <w:szCs w:val="30"/>
        </w:rPr>
        <w:t>月份共采集降水样品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73.1</w:t>
      </w:r>
      <w:r>
        <w:rPr>
          <w:sz w:val="30"/>
          <w:szCs w:val="30"/>
        </w:rPr>
        <w:t>mm，降水pH为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～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47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33</w:t>
      </w:r>
      <w:r>
        <w:rPr>
          <w:sz w:val="30"/>
          <w:szCs w:val="30"/>
        </w:rPr>
        <w:t>（酸雨临界值PH&lt;5.6）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580857D4">
      <w:pPr>
        <w:spacing w:before="360" w:beforeLines="150" w:after="240" w:afterLines="100" w:line="56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表3-1            </w:t>
      </w:r>
      <w:r>
        <w:rPr>
          <w:rFonts w:hint="eastAsia"/>
          <w:b/>
          <w:sz w:val="30"/>
          <w:szCs w:val="30"/>
        </w:rPr>
        <w:t>2024年</w:t>
      </w:r>
      <w:r>
        <w:rPr>
          <w:rFonts w:hint="eastAsia"/>
          <w:b/>
          <w:sz w:val="30"/>
          <w:szCs w:val="30"/>
          <w:lang w:val="en-US" w:eastAsia="zh-CN"/>
        </w:rPr>
        <w:t>11</w:t>
      </w:r>
      <w:r>
        <w:rPr>
          <w:b/>
          <w:sz w:val="30"/>
          <w:szCs w:val="30"/>
        </w:rPr>
        <w:t>月份蕉岭县城区降水质量表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6ED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BBC83A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586ECAC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PH范围</w:t>
            </w:r>
            <w:bookmarkEnd w:id="10"/>
          </w:p>
        </w:tc>
        <w:tc>
          <w:tcPr>
            <w:tcW w:w="1901" w:type="dxa"/>
            <w:vAlign w:val="center"/>
          </w:tcPr>
          <w:p w14:paraId="27DDD00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7F1C9C2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7DDC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11F92D12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3" w:name="_Toc3493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20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</w:rPr>
              <w:t>24</w:t>
            </w:r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月</w:t>
            </w:r>
            <w:bookmarkEnd w:id="13"/>
          </w:p>
        </w:tc>
        <w:tc>
          <w:tcPr>
            <w:tcW w:w="2250" w:type="dxa"/>
            <w:vAlign w:val="center"/>
          </w:tcPr>
          <w:p w14:paraId="084BD546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6.1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～6.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01" w:type="dxa"/>
            <w:vAlign w:val="center"/>
          </w:tcPr>
          <w:p w14:paraId="3D9022A8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6.33</w:t>
            </w:r>
          </w:p>
        </w:tc>
        <w:tc>
          <w:tcPr>
            <w:tcW w:w="2313" w:type="dxa"/>
            <w:vAlign w:val="center"/>
          </w:tcPr>
          <w:p w14:paraId="4E3C841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4" w:name="_Toc16366"/>
            <w:r>
              <w:rPr>
                <w:rFonts w:ascii="Calibri" w:hAnsi="Calibri"/>
                <w:b/>
                <w:bCs/>
                <w:snapToGrid w:val="0"/>
                <w:kern w:val="0"/>
                <w:sz w:val="24"/>
                <w:szCs w:val="24"/>
              </w:rPr>
              <w:t>0</w:t>
            </w:r>
            <w:bookmarkEnd w:id="14"/>
          </w:p>
        </w:tc>
      </w:tr>
    </w:tbl>
    <w:p w14:paraId="3E385B63">
      <w:pPr>
        <w:spacing w:after="240" w:afterLines="100" w:line="560" w:lineRule="exact"/>
        <w:jc w:val="center"/>
        <w:rPr>
          <w:b/>
          <w:bCs/>
          <w:color w:val="1F497D"/>
          <w:sz w:val="32"/>
          <w:szCs w:val="28"/>
        </w:rPr>
      </w:pPr>
    </w:p>
    <w:p w14:paraId="1252EFC2">
      <w:pPr>
        <w:spacing w:after="240" w:afterLines="100" w:line="560" w:lineRule="exact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表3-</w:t>
      </w: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 xml:space="preserve"> </w:t>
      </w:r>
      <w:r>
        <w:rPr>
          <w:b/>
          <w:bCs/>
          <w:color w:val="1F497D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 xml:space="preserve">       2024年 </w:t>
      </w:r>
      <w:r>
        <w:rPr>
          <w:b/>
          <w:bCs/>
          <w:sz w:val="30"/>
          <w:szCs w:val="30"/>
        </w:rPr>
        <w:t>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555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2AD1A02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5" w:name="_Toc768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月份</w:t>
            </w:r>
            <w:bookmarkEnd w:id="15"/>
          </w:p>
        </w:tc>
        <w:tc>
          <w:tcPr>
            <w:tcW w:w="765" w:type="dxa"/>
            <w:vAlign w:val="center"/>
          </w:tcPr>
          <w:p w14:paraId="688ED09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6" w:name="_Toc3212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1月</w:t>
            </w:r>
            <w:bookmarkEnd w:id="16"/>
          </w:p>
        </w:tc>
        <w:tc>
          <w:tcPr>
            <w:tcW w:w="765" w:type="dxa"/>
            <w:vAlign w:val="center"/>
          </w:tcPr>
          <w:p w14:paraId="4932229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7" w:name="_Toc512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2月</w:t>
            </w:r>
            <w:bookmarkEnd w:id="17"/>
          </w:p>
        </w:tc>
        <w:tc>
          <w:tcPr>
            <w:tcW w:w="765" w:type="dxa"/>
            <w:vAlign w:val="center"/>
          </w:tcPr>
          <w:p w14:paraId="54904A2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8" w:name="_Toc286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3月</w:t>
            </w:r>
            <w:bookmarkEnd w:id="18"/>
          </w:p>
        </w:tc>
        <w:tc>
          <w:tcPr>
            <w:tcW w:w="765" w:type="dxa"/>
            <w:vAlign w:val="center"/>
          </w:tcPr>
          <w:p w14:paraId="52D9461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19" w:name="_Toc1052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4月</w:t>
            </w:r>
            <w:bookmarkEnd w:id="19"/>
          </w:p>
        </w:tc>
        <w:tc>
          <w:tcPr>
            <w:tcW w:w="765" w:type="dxa"/>
            <w:vAlign w:val="center"/>
          </w:tcPr>
          <w:p w14:paraId="4F2EC113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0" w:name="_Toc27090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5月</w:t>
            </w:r>
            <w:bookmarkEnd w:id="20"/>
          </w:p>
        </w:tc>
        <w:tc>
          <w:tcPr>
            <w:tcW w:w="766" w:type="dxa"/>
            <w:vAlign w:val="center"/>
          </w:tcPr>
          <w:p w14:paraId="1296865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1" w:name="_Toc10671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6月</w:t>
            </w:r>
            <w:bookmarkEnd w:id="21"/>
          </w:p>
        </w:tc>
        <w:tc>
          <w:tcPr>
            <w:tcW w:w="766" w:type="dxa"/>
            <w:vAlign w:val="center"/>
          </w:tcPr>
          <w:p w14:paraId="60CAC35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2" w:name="_Toc1239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7月</w:t>
            </w:r>
            <w:bookmarkEnd w:id="22"/>
          </w:p>
        </w:tc>
        <w:tc>
          <w:tcPr>
            <w:tcW w:w="766" w:type="dxa"/>
            <w:vAlign w:val="center"/>
          </w:tcPr>
          <w:p w14:paraId="6582AC39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3" w:name="_Toc918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8月</w:t>
            </w:r>
            <w:bookmarkEnd w:id="23"/>
          </w:p>
        </w:tc>
        <w:tc>
          <w:tcPr>
            <w:tcW w:w="766" w:type="dxa"/>
            <w:vAlign w:val="center"/>
          </w:tcPr>
          <w:p w14:paraId="2B88513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4" w:name="_Toc2520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9月</w:t>
            </w:r>
            <w:bookmarkEnd w:id="24"/>
          </w:p>
        </w:tc>
        <w:tc>
          <w:tcPr>
            <w:tcW w:w="766" w:type="dxa"/>
            <w:vAlign w:val="center"/>
          </w:tcPr>
          <w:p w14:paraId="16FF419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5" w:name="_Toc3105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10月</w:t>
            </w:r>
            <w:bookmarkEnd w:id="25"/>
          </w:p>
        </w:tc>
        <w:tc>
          <w:tcPr>
            <w:tcW w:w="766" w:type="dxa"/>
            <w:vAlign w:val="center"/>
          </w:tcPr>
          <w:p w14:paraId="1ABE0FF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6" w:name="_Toc3672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11月</w:t>
            </w:r>
            <w:bookmarkEnd w:id="26"/>
          </w:p>
        </w:tc>
        <w:tc>
          <w:tcPr>
            <w:tcW w:w="766" w:type="dxa"/>
            <w:vAlign w:val="center"/>
          </w:tcPr>
          <w:p w14:paraId="5CF3EDD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7" w:name="_Toc15263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12月</w:t>
            </w:r>
            <w:bookmarkEnd w:id="27"/>
          </w:p>
        </w:tc>
      </w:tr>
      <w:tr w14:paraId="0E8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1" w:type="dxa"/>
            <w:vAlign w:val="center"/>
          </w:tcPr>
          <w:p w14:paraId="4340D09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8" w:name="_Toc17137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PH范围</w:t>
            </w:r>
            <w:bookmarkEnd w:id="28"/>
          </w:p>
        </w:tc>
        <w:tc>
          <w:tcPr>
            <w:tcW w:w="765" w:type="dxa"/>
            <w:vAlign w:val="center"/>
          </w:tcPr>
          <w:p w14:paraId="1DED224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67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</w:p>
          <w:p w14:paraId="15A68D1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6.92</w:t>
            </w:r>
          </w:p>
        </w:tc>
        <w:tc>
          <w:tcPr>
            <w:tcW w:w="765" w:type="dxa"/>
            <w:vAlign w:val="center"/>
          </w:tcPr>
          <w:p w14:paraId="12010C5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41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</w:p>
          <w:p w14:paraId="15BF87DC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6.62</w:t>
            </w:r>
          </w:p>
        </w:tc>
        <w:tc>
          <w:tcPr>
            <w:tcW w:w="765" w:type="dxa"/>
            <w:vAlign w:val="center"/>
          </w:tcPr>
          <w:p w14:paraId="55EC803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38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</w:p>
          <w:p w14:paraId="5EBCEB2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6.64</w:t>
            </w:r>
          </w:p>
        </w:tc>
        <w:tc>
          <w:tcPr>
            <w:tcW w:w="765" w:type="dxa"/>
            <w:vAlign w:val="center"/>
          </w:tcPr>
          <w:p w14:paraId="6FFCE34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36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</w:p>
          <w:p w14:paraId="48FEAC2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6.64</w:t>
            </w:r>
          </w:p>
        </w:tc>
        <w:tc>
          <w:tcPr>
            <w:tcW w:w="765" w:type="dxa"/>
            <w:vAlign w:val="center"/>
          </w:tcPr>
          <w:p w14:paraId="79FE8FE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38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6.61</w:t>
            </w:r>
          </w:p>
        </w:tc>
        <w:tc>
          <w:tcPr>
            <w:tcW w:w="766" w:type="dxa"/>
            <w:vAlign w:val="center"/>
          </w:tcPr>
          <w:p w14:paraId="39469630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31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766" w:type="dxa"/>
            <w:vAlign w:val="center"/>
          </w:tcPr>
          <w:p w14:paraId="7D611B7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33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766" w:type="dxa"/>
            <w:vAlign w:val="center"/>
          </w:tcPr>
          <w:p w14:paraId="13341BF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07</w:t>
            </w: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36D4C4">
            <w:pPr>
              <w:spacing w:line="240" w:lineRule="atLeast"/>
              <w:jc w:val="center"/>
              <w:outlineLvl w:val="0"/>
              <w:rPr>
                <w:rFonts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6.13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6.56</w:t>
            </w:r>
          </w:p>
        </w:tc>
        <w:tc>
          <w:tcPr>
            <w:tcW w:w="766" w:type="dxa"/>
            <w:vAlign w:val="center"/>
          </w:tcPr>
          <w:p w14:paraId="4F349F3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6.44</w:t>
            </w:r>
          </w:p>
        </w:tc>
        <w:tc>
          <w:tcPr>
            <w:tcW w:w="766" w:type="dxa"/>
            <w:vAlign w:val="center"/>
          </w:tcPr>
          <w:p w14:paraId="3278267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6.12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~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6.47</w:t>
            </w:r>
          </w:p>
        </w:tc>
        <w:tc>
          <w:tcPr>
            <w:tcW w:w="766" w:type="dxa"/>
            <w:vAlign w:val="center"/>
          </w:tcPr>
          <w:p w14:paraId="5A3ED46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2E9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E7376A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29" w:name="_Toc13836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月均值</w:t>
            </w:r>
            <w:bookmarkEnd w:id="29"/>
          </w:p>
        </w:tc>
        <w:tc>
          <w:tcPr>
            <w:tcW w:w="765" w:type="dxa"/>
            <w:vAlign w:val="center"/>
          </w:tcPr>
          <w:p w14:paraId="0D39BDD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.80</w:t>
            </w:r>
          </w:p>
        </w:tc>
        <w:tc>
          <w:tcPr>
            <w:tcW w:w="765" w:type="dxa"/>
            <w:vAlign w:val="center"/>
          </w:tcPr>
          <w:p w14:paraId="111E7DD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.51</w:t>
            </w:r>
          </w:p>
        </w:tc>
        <w:tc>
          <w:tcPr>
            <w:tcW w:w="765" w:type="dxa"/>
            <w:vAlign w:val="center"/>
          </w:tcPr>
          <w:p w14:paraId="755B197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.48</w:t>
            </w:r>
          </w:p>
        </w:tc>
        <w:tc>
          <w:tcPr>
            <w:tcW w:w="765" w:type="dxa"/>
            <w:vAlign w:val="center"/>
          </w:tcPr>
          <w:p w14:paraId="6BBAB65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.48</w:t>
            </w:r>
          </w:p>
        </w:tc>
        <w:tc>
          <w:tcPr>
            <w:tcW w:w="765" w:type="dxa"/>
            <w:vAlign w:val="center"/>
          </w:tcPr>
          <w:p w14:paraId="212F8CB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6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.48</w:t>
            </w:r>
          </w:p>
        </w:tc>
        <w:tc>
          <w:tcPr>
            <w:tcW w:w="766" w:type="dxa"/>
            <w:vAlign w:val="center"/>
          </w:tcPr>
          <w:p w14:paraId="2BFA9351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766" w:type="dxa"/>
            <w:vAlign w:val="center"/>
          </w:tcPr>
          <w:p w14:paraId="1875919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766" w:type="dxa"/>
            <w:vAlign w:val="center"/>
          </w:tcPr>
          <w:p w14:paraId="7250C80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</w:t>
            </w: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EC3C67">
            <w:pPr>
              <w:spacing w:line="240" w:lineRule="atLeast"/>
              <w:jc w:val="center"/>
              <w:outlineLvl w:val="0"/>
              <w:rPr>
                <w:rFonts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6.38</w:t>
            </w:r>
          </w:p>
        </w:tc>
        <w:tc>
          <w:tcPr>
            <w:tcW w:w="766" w:type="dxa"/>
            <w:vAlign w:val="center"/>
          </w:tcPr>
          <w:p w14:paraId="1A246056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6.44</w:t>
            </w:r>
          </w:p>
        </w:tc>
        <w:tc>
          <w:tcPr>
            <w:tcW w:w="766" w:type="dxa"/>
            <w:vAlign w:val="center"/>
          </w:tcPr>
          <w:p w14:paraId="54780630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6.33</w:t>
            </w:r>
          </w:p>
        </w:tc>
        <w:tc>
          <w:tcPr>
            <w:tcW w:w="766" w:type="dxa"/>
            <w:vAlign w:val="center"/>
          </w:tcPr>
          <w:p w14:paraId="77BC6FAD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  <w:tr w14:paraId="691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5F3E047F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bookmarkStart w:id="30" w:name="_Toc29109"/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30"/>
          </w:p>
        </w:tc>
        <w:tc>
          <w:tcPr>
            <w:tcW w:w="765" w:type="dxa"/>
            <w:vAlign w:val="center"/>
          </w:tcPr>
          <w:p w14:paraId="2695FD98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8849A3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37A4C30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1377C327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7F0273BA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vAlign w:val="center"/>
          </w:tcPr>
          <w:p w14:paraId="3585369B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0E864AB4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6EC73F88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407AD616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652655E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59738369">
            <w:pPr>
              <w:spacing w:line="240" w:lineRule="atLeast"/>
              <w:jc w:val="center"/>
              <w:outlineLvl w:val="0"/>
              <w:rPr>
                <w:rFonts w:hint="eastAsia" w:ascii="Calibri" w:hAnsi="Calibri" w:eastAsia="宋体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36369C5">
            <w:pPr>
              <w:spacing w:line="240" w:lineRule="atLeast"/>
              <w:jc w:val="center"/>
              <w:outlineLvl w:val="0"/>
              <w:rPr>
                <w:rFonts w:ascii="Calibri" w:hAnsi="Calibri"/>
                <w:b/>
                <w:bCs/>
                <w:snapToGrid w:val="0"/>
                <w:kern w:val="0"/>
                <w:szCs w:val="21"/>
              </w:rPr>
            </w:pPr>
          </w:p>
        </w:tc>
      </w:tr>
    </w:tbl>
    <w:p w14:paraId="1FAC90FC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15E181C1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696431BE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  <w:t>【 四、水环境 】</w:t>
      </w:r>
    </w:p>
    <w:p w14:paraId="40FDC046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5EEC736F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广东省地表水环境功能区划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41373BD2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月，我县地表水环境功能区划断面10个，经监测结果表明，犁壁滩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1个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断面水质未能达到目标水质要求，其余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个断面均</w:t>
      </w:r>
      <w:r>
        <w:rPr>
          <w:rFonts w:hint="eastAsia"/>
          <w:sz w:val="30"/>
          <w:szCs w:val="30"/>
        </w:rPr>
        <w:t>达到目标水质要求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。断面水质主要超标项目为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化学需氧量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。按水功能区划评价，10个监测断面水质达标率为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%。其中水质为Ⅱ类的断面8个，分别是长潭（省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断面、生态功能区）、三圳（省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断面、生态功能区）、</w:t>
      </w:r>
      <w:r>
        <w:rPr>
          <w:rFonts w:hint="eastAsia" w:ascii="宋体" w:hAnsi="宋体" w:cs="宋体"/>
          <w:sz w:val="30"/>
          <w:szCs w:val="30"/>
        </w:rPr>
        <w:t>新铺（白渡沙坪—省</w:t>
      </w:r>
      <w:r>
        <w:rPr>
          <w:rFonts w:hint="eastAsia" w:ascii="宋体" w:hAnsi="宋体" w:cs="宋体"/>
          <w:sz w:val="30"/>
          <w:szCs w:val="30"/>
          <w:lang w:eastAsia="zh-CN"/>
        </w:rPr>
        <w:t>控</w:t>
      </w:r>
      <w:r>
        <w:rPr>
          <w:rFonts w:hint="eastAsia" w:ascii="宋体" w:hAnsi="宋体" w:cs="宋体"/>
          <w:sz w:val="30"/>
          <w:szCs w:val="30"/>
        </w:rPr>
        <w:t>断面）、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乌土下墩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大坪头、高思出水口、园潭（市考断面）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大治桥；水质为Ⅲ类的断面2个，分别是犁壁滩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溪峰河。详见表4-1。</w:t>
      </w:r>
    </w:p>
    <w:p w14:paraId="0EDCDE1D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5452D27C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 xml:space="preserve">表4-1 ：     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2024年 1-12月份广东省地表水环境功能区划水质监测汇总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3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0025AC8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3DB735D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B602BE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3D8D496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54D97F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3E50CF5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32BD901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42825D4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A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02DBF4A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CDAF6C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68C7A6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283BFF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C45CD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563928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611020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3219A5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474A92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668BF2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A8E676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246BBD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75FD9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4332BB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49B00E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21B4A57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6E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110CF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A9D6EB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BD5424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047EE86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05CB82E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66" w:type="dxa"/>
            <w:vAlign w:val="center"/>
          </w:tcPr>
          <w:p w14:paraId="637F49B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1B09A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04" w:type="dxa"/>
            <w:vAlign w:val="center"/>
          </w:tcPr>
          <w:p w14:paraId="1BAB8D9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591A8D1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99B2F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E808B3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3ECE95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18958F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8B49E1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715489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27563A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7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E812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1DDB572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3A44B04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6D09F19F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094FE36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4615C13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7553ECE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088603C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46485E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4210EE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869D9F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C8F9A2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03D87D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83FCC7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E47E2F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A57AF9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E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06E5CE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5B6E9FD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63EC46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新铺（白渡沙坪—省考）</w:t>
            </w:r>
          </w:p>
        </w:tc>
        <w:tc>
          <w:tcPr>
            <w:tcW w:w="913" w:type="dxa"/>
            <w:vAlign w:val="center"/>
          </w:tcPr>
          <w:p w14:paraId="7EFCA055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4CEFADD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20C04FD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F937D3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330C44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5EE424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648E6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B388F3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A0092D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320F1C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154CCD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358BA09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44A13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78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649F4C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EB15AF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1AE01A5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0B50466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3015250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592BCEE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61CB889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47C4028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4817972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1ED99C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266FFE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3A0756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5" w:type="dxa"/>
            <w:vAlign w:val="center"/>
          </w:tcPr>
          <w:p w14:paraId="53BD98A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16A9176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57A7B07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C6CAD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D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D1DDE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BAEACE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8F13C7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48BDAFC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7A8E4A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06203B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C40FDA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59A6237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ED42E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227B35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0FFD7CF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602110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A3C904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1DD05C1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94DE62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4EFE49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3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11E0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3D930E89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5C496176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77886D1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4F00BB6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3BC114E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2DC12E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vAlign w:val="center"/>
          </w:tcPr>
          <w:p w14:paraId="188B14E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1DD02B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36155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DDA1EC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7FB681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7C96168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96F009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D68E16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EE34A2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7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0B8D2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7EE7CCE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953A9F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5A4A02F1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0661D35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7F70DFB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371DEA1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07F609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B7A32B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E00AE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600FEF8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136E5E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10B981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3F680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A8DDD2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C19E40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DBBFD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5FA7CB2B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1913F9F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10D63D24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3D774D4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04C9B8B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338827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vAlign w:val="center"/>
          </w:tcPr>
          <w:p w14:paraId="1BF91D7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AF9FD2F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161DA3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6944D7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41E87A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85693D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EDB1C0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66781A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E9FB0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29FFA0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060295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5E3EE8E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5CAA36E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vAlign w:val="center"/>
          </w:tcPr>
          <w:p w14:paraId="142C0FA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vAlign w:val="center"/>
          </w:tcPr>
          <w:p w14:paraId="45C2276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1CACD2D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47B6AA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2832CEA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6D86193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1C31596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FBD402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10544A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B59D4D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A34EC1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043A13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4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18CDA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0512BC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46AA6F0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27FA11A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vAlign w:val="center"/>
          </w:tcPr>
          <w:p w14:paraId="473A844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60A6290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2A70DC4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vAlign w:val="center"/>
          </w:tcPr>
          <w:p w14:paraId="4AD3BEC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3E5B7FE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1E5B09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83F48A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vAlign w:val="center"/>
          </w:tcPr>
          <w:p w14:paraId="664E530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06E5A8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564D4B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580971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35326FC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F2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7A453E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4A398901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5F690563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2、园潭（市考）断面数据由梅县站提供；</w:t>
            </w:r>
          </w:p>
          <w:p w14:paraId="2C8DEB0F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13F96DAE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cols w:space="720" w:num="1"/>
          <w:docGrid w:linePitch="312" w:charSpace="0"/>
        </w:sectPr>
      </w:pPr>
    </w:p>
    <w:p w14:paraId="0FB6016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跨界断面水质状况</w:t>
      </w:r>
      <w:bookmarkEnd w:id="3"/>
    </w:p>
    <w:p w14:paraId="0B5881DC"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月，我县跨界（县）断面11个，经监测结果表明，除犁壁滩（与平远交界处）断面水质未能达到目标水质要求，其他10个断面均能达到目标水质要求，断面水质主要超标项目为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化学需氧量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按水功能区划评价，11个监测断面水质达标率为91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%，与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达标率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保持稳定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。其中水质为Ⅱ类的断面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分别是园丰大桥（长潭水库进水口）、太山村与洋山村交界点（与武平县太山村交界处）、光彩村与尚田村交界点（与武平县交界处）、曹地村与岭背村交界点（与武平县交界处）、园潭（市考断面—与梅县松源河交界点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新铺（白渡沙坪—省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控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断面）；水质为Ⅲ类的断面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分别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是羊角电站（多宝水库进水口）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洋山村与保安村交界点（洋山村与上杭交界处）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保安村与石寨村交界点（上杭与石寨村交界处）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犁壁滩（与平远交界处）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福塔大桥（与武平县岩前交界处）。详见表4-2。</w:t>
      </w:r>
    </w:p>
    <w:p w14:paraId="4797EBFA">
      <w:pPr>
        <w:spacing w:after="240" w:afterLines="100" w:line="560" w:lineRule="exact"/>
        <w:jc w:val="center"/>
        <w:outlineLvl w:val="0"/>
        <w:rPr>
          <w:rFonts w:asciiTheme="minorEastAsia" w:hAnsiTheme="minorEastAsia" w:eastAsiaTheme="minorEastAsia" w:cs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cols w:space="720" w:num="1"/>
          <w:docGrid w:linePitch="312" w:charSpace="0"/>
        </w:sectPr>
      </w:pPr>
    </w:p>
    <w:p w14:paraId="57031CA0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表4-2 ：                        2024年1-12月份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3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267"/>
        <w:gridCol w:w="1355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1E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265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83F6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542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08C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90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EF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7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6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3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F6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502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65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92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5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2C0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C3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1A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AB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13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39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3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6D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5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7A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2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5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91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B7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Ⅰ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4B7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FF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BDD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8D97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9E4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DB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B94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57F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5886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C711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805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0CC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A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21B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F39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DDC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2C2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CCC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265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28EB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A378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6D59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7BD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CE1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8E70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3A0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511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3B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7A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A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DF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0655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太山村与洋山村</w:t>
            </w:r>
          </w:p>
          <w:p w14:paraId="656CFB0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77E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9E9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2C9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331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3E62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35A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9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805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775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BECB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A08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BA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81C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64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D8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897C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洋山村与保安村</w:t>
            </w:r>
          </w:p>
          <w:p w14:paraId="173B9C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932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989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A65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10F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A5F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F2B8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239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0CD7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F13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FCA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D917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F7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3E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F1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39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5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81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保安村与石寨村</w:t>
            </w:r>
          </w:p>
          <w:p w14:paraId="019011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F2B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4FA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F8D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A4CA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919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253C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D64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F13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223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C28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B53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71B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C6D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E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95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4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D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AF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ED9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FF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A7F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969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BBCB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A14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A38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801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92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85C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46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61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D8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E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61C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AF8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DAE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329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D33C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4AB9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BB0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048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CB7B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C7A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CF2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F0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8EE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4401782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</w:rPr>
      </w:pPr>
    </w:p>
    <w:p w14:paraId="3A8A936B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续表4-2 ：                       2024年 1-12月份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3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04"/>
        <w:gridCol w:w="1956"/>
        <w:gridCol w:w="836"/>
        <w:gridCol w:w="766"/>
        <w:gridCol w:w="765"/>
        <w:gridCol w:w="765"/>
        <w:gridCol w:w="765"/>
        <w:gridCol w:w="766"/>
        <w:gridCol w:w="766"/>
        <w:gridCol w:w="765"/>
        <w:gridCol w:w="765"/>
        <w:gridCol w:w="765"/>
        <w:gridCol w:w="767"/>
        <w:gridCol w:w="765"/>
        <w:gridCol w:w="772"/>
      </w:tblGrid>
      <w:tr w14:paraId="79AE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3EC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FB281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43A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086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199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3FD9F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F2C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974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F5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20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586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3DB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9DD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45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894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5B5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48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0F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2B2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6C6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C90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96D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443D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48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C51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8C3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园潭</w:t>
            </w:r>
          </w:p>
          <w:p w14:paraId="4236BAB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（市考断面）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33BA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DAC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EF90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F606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C26C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AF29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BE10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25A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7D29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6508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8FB1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8C2D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D7D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26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B7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95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BD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D045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D7B7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3CC4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03C3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A6F6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BDD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8488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5353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6044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C9FEB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22C7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47E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DC5C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D86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FD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08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D14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8665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3D9C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CE9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F00B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F563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4A7C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323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980A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5A1A6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839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D509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C37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7F10D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4C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65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E0C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29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9721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59F4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BDFB"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CC4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CCD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733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61F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BA8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20A3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A1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736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899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C097">
            <w:pPr>
              <w:spacing w:line="3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32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C4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00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A8F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52D506D5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DFCDC2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由梅县站提供数据。</w:t>
            </w:r>
          </w:p>
        </w:tc>
      </w:tr>
    </w:tbl>
    <w:p w14:paraId="6A64DAA0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</w:pPr>
    </w:p>
    <w:p w14:paraId="71FB0954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</w:pPr>
    </w:p>
    <w:p w14:paraId="25492AE9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cols w:space="720" w:num="1"/>
          <w:docGrid w:linePitch="312" w:charSpace="0"/>
        </w:sectPr>
      </w:pPr>
    </w:p>
    <w:p w14:paraId="698E91A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bookmarkStart w:id="31" w:name="_Toc28092"/>
      <w:r>
        <w:rPr>
          <w:rFonts w:hint="eastAsia"/>
          <w:b/>
          <w:bCs/>
          <w:kern w:val="0"/>
          <w:sz w:val="32"/>
          <w:szCs w:val="32"/>
          <w:highlight w:val="none"/>
        </w:rPr>
        <w:t>（三）国（省）考断面水质状况</w:t>
      </w:r>
    </w:p>
    <w:p w14:paraId="41FB6C35">
      <w:pPr>
        <w:adjustRightInd w:val="0"/>
        <w:snapToGrid w:val="0"/>
        <w:spacing w:line="560" w:lineRule="exact"/>
        <w:ind w:firstLine="600" w:firstLineChars="200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今年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cs="宋体"/>
          <w:sz w:val="30"/>
          <w:szCs w:val="30"/>
        </w:rPr>
        <w:t>月，我县国考、省考断面6个，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经监测结果表明：</w:t>
      </w:r>
      <w:r>
        <w:rPr>
          <w:rFonts w:hint="eastAsia" w:ascii="宋体" w:hAnsi="宋体" w:cs="宋体"/>
          <w:sz w:val="30"/>
          <w:szCs w:val="30"/>
        </w:rPr>
        <w:t>国考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新铺、龙潭水库（省考、水功能区）、长潭（生态考核、省考）、三圳（生态考核、省考）、新铺（白渡沙坪-省考）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个断面水质监测结果均为Ⅱ类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长潭水库（坝头-省考、水功能区）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1个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断面水质监测结果为Ⅲ类，均达到目标水质Ⅱ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、Ⅲ类要求。与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</w:t>
      </w:r>
      <w:r>
        <w:rPr>
          <w:rFonts w:hint="eastAsia" w:ascii="宋体" w:hAnsi="宋体" w:cs="宋体"/>
          <w:sz w:val="30"/>
          <w:szCs w:val="30"/>
        </w:rPr>
        <w:t>国考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龙潭水库（省考、水功能区）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长潭（生态考核、省考）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三圳（生态考核、省考）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个断面水质均保持稳定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达标；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长潭水库（坝头-省考、水功能区）断面水质变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差；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新铺（白渡沙坪-省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控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）断面水质变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好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。详见表4-3。</w:t>
      </w:r>
    </w:p>
    <w:p w14:paraId="6BA30E3C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表4-3 ：2024年1-12月份国考、省考断面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5A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5F5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5BADC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CB70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F74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470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E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A65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6F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8EF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049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597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6B71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4D9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E27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44A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B5E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F26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D6F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14B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D6C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52B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F1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6F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D8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7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6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3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7CA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B2F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78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552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521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00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069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B9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78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9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30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E37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35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3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F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6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05C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7FA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EDF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FE1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434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FE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CAA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92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F7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A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A1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AD9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46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4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164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BE2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475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EF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32F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06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EE4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E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EB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76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68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4AB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02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A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5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3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CBD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240D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A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61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41F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49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62F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F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B9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D5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6E6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7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B2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F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3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7E7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FF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F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1E3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6FD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50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DB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4E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53A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3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F8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F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4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D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0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96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E7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A5F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C5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6F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C3A1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850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4A4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DBB">
            <w:pPr>
              <w:tabs>
                <w:tab w:val="left" w:pos="310"/>
              </w:tabs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D0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0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3E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F0"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A0994E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yellow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（四）城市饮用水源水质状况</w:t>
      </w:r>
      <w:bookmarkEnd w:id="31"/>
    </w:p>
    <w:p w14:paraId="00AC56EF">
      <w:pPr>
        <w:adjustRightInd w:val="0"/>
        <w:snapToGrid w:val="0"/>
        <w:spacing w:line="56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月，我县城市饮用水源地（黄竹坪-龙潭水库）水质监测结果为Ⅱ类，达到目标水质要求。与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月份相比，黄竹坪-龙潭水库水质保持稳定达标。详见表4-4。</w:t>
      </w:r>
    </w:p>
    <w:p w14:paraId="4EFD1C32">
      <w:pPr>
        <w:adjustRightInd w:val="0"/>
        <w:snapToGrid w:val="0"/>
        <w:spacing w:line="560" w:lineRule="exact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1FBBF072">
      <w:pPr>
        <w:tabs>
          <w:tab w:val="left" w:pos="4433"/>
          <w:tab w:val="center" w:pos="7062"/>
        </w:tabs>
        <w:spacing w:line="560" w:lineRule="exact"/>
        <w:rPr>
          <w:rFonts w:asciiTheme="minorEastAsia" w:hAnsiTheme="minorEastAsia" w:eastAsiaTheme="minorEastAsia" w:cs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表4-4 ：   2024年1-12月份城市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7285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4C4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18D98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F1D2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45B4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8B4E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C89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32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4CF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10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01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79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A48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1DEA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FA1D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A0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1F8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4CD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5E09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B4B4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1FC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9BD5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27B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CB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C4B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10B3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332905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0AC">
            <w:pPr>
              <w:widowControl/>
              <w:spacing w:line="36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7E2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AC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57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0B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AA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CD2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1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29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51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66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E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6C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2EFDC5">
      <w:pPr>
        <w:spacing w:line="560" w:lineRule="exact"/>
        <w:ind w:firstLine="643" w:firstLineChars="200"/>
        <w:outlineLvl w:val="1"/>
        <w:rPr>
          <w:b/>
          <w:bCs/>
          <w:sz w:val="32"/>
          <w:szCs w:val="32"/>
          <w:highlight w:val="none"/>
        </w:rPr>
      </w:pPr>
      <w:bookmarkStart w:id="32" w:name="_Toc24320"/>
      <w:r>
        <w:rPr>
          <w:b/>
          <w:bCs/>
          <w:sz w:val="32"/>
          <w:szCs w:val="32"/>
          <w:highlight w:val="none"/>
        </w:rPr>
        <w:t>（</w:t>
      </w:r>
      <w:r>
        <w:rPr>
          <w:rFonts w:hint="eastAsia"/>
          <w:b/>
          <w:bCs/>
          <w:sz w:val="32"/>
          <w:szCs w:val="32"/>
          <w:highlight w:val="none"/>
        </w:rPr>
        <w:t>五</w:t>
      </w:r>
      <w:r>
        <w:rPr>
          <w:b/>
          <w:bCs/>
          <w:sz w:val="32"/>
          <w:szCs w:val="32"/>
          <w:highlight w:val="none"/>
        </w:rPr>
        <w:t>）重点水库水质状况</w:t>
      </w:r>
      <w:bookmarkEnd w:id="32"/>
    </w:p>
    <w:p w14:paraId="2140C819">
      <w:pPr>
        <w:spacing w:line="56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bookmarkStart w:id="33" w:name="_Toc6090"/>
      <w:bookmarkStart w:id="34" w:name="_Toc30814"/>
      <w:r>
        <w:rPr>
          <w:rFonts w:hint="eastAsia" w:ascii="宋体" w:hAnsi="宋体" w:cs="宋体"/>
          <w:sz w:val="30"/>
          <w:szCs w:val="30"/>
        </w:rPr>
        <w:t>今年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cs="宋体"/>
          <w:sz w:val="30"/>
          <w:szCs w:val="30"/>
        </w:rPr>
        <w:t>月，我县重点水库水质断面1个，经监测结果表明：多宝水库水质为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Ⅱ</w:t>
      </w:r>
      <w:r>
        <w:rPr>
          <w:rFonts w:hint="eastAsia" w:ascii="宋体" w:hAnsi="宋体" w:cs="宋体"/>
          <w:sz w:val="30"/>
          <w:szCs w:val="30"/>
        </w:rPr>
        <w:t>类，达到目标水质要求。与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</w:t>
      </w:r>
      <w:r>
        <w:rPr>
          <w:rFonts w:hint="eastAsia" w:ascii="宋体" w:hAnsi="宋体" w:cs="宋体"/>
          <w:sz w:val="30"/>
          <w:szCs w:val="30"/>
        </w:rPr>
        <w:t>月份相比，多宝水库水质</w:t>
      </w:r>
      <w:r>
        <w:rPr>
          <w:rFonts w:hint="eastAsia" w:ascii="宋体" w:hAnsi="宋体" w:cs="宋体"/>
          <w:sz w:val="30"/>
          <w:szCs w:val="30"/>
          <w:lang w:eastAsia="zh-CN"/>
        </w:rPr>
        <w:t>变好</w:t>
      </w:r>
      <w:r>
        <w:rPr>
          <w:rFonts w:hint="eastAsia" w:ascii="宋体" w:hAnsi="宋体" w:cs="宋体"/>
          <w:sz w:val="30"/>
          <w:szCs w:val="30"/>
        </w:rPr>
        <w:t>。详见表4-5。</w:t>
      </w:r>
    </w:p>
    <w:p w14:paraId="021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01" w:firstLineChars="100"/>
        <w:textAlignment w:val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表4-5：     2024年1-12月份重点水库水质监测汇总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1B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DD73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12A0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水库</w:t>
            </w:r>
          </w:p>
          <w:p w14:paraId="1EA3A56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345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监测</w:t>
            </w:r>
          </w:p>
          <w:p w14:paraId="073EDF3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A9E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485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60F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4E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B62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E5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F54">
            <w:pPr>
              <w:widowControl/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0A4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A12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871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EEB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FB8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A4E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F5C4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AA5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62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B8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CFC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61D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6DC6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7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9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ED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D90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B394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13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880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66E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502E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6F4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02CB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FE5A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BC1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5C6C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43F7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EED31DA">
      <w:pPr>
        <w:tabs>
          <w:tab w:val="left" w:pos="239"/>
          <w:tab w:val="left" w:pos="5363"/>
        </w:tabs>
        <w:spacing w:after="120" w:afterLines="50" w:line="560" w:lineRule="exact"/>
        <w:ind w:firstLine="643" w:firstLineChars="200"/>
        <w:jc w:val="left"/>
        <w:outlineLvl w:val="1"/>
        <w:rPr>
          <w:b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（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六</w:t>
      </w:r>
      <w:r>
        <w:rPr>
          <w:b/>
          <w:bCs/>
          <w:kern w:val="0"/>
          <w:sz w:val="32"/>
          <w:szCs w:val="32"/>
          <w:highlight w:val="none"/>
        </w:rPr>
        <w:t>）</w:t>
      </w:r>
      <w:bookmarkEnd w:id="33"/>
      <w:bookmarkStart w:id="35" w:name="_Toc124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城区河流断面水质</w:t>
      </w:r>
      <w:r>
        <w:rPr>
          <w:b/>
          <w:sz w:val="32"/>
          <w:szCs w:val="32"/>
          <w:highlight w:val="none"/>
        </w:rPr>
        <w:t>状况</w:t>
      </w:r>
    </w:p>
    <w:p w14:paraId="0BC11D11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今年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月，我县城区河流水质断面2个，经监测结果表明：环东河断面水质为劣Ⅴ类，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未能达到目标水质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要求，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主要污染物为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溶解氧、化学需氧量、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氨氮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、总磷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；溪峰河断面水质为Ⅲ类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，达到目标水质要求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。与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相比，环东河断面水质保持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稳定；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溪峰河断面水质保持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  <w:lang w:eastAsia="zh-CN"/>
        </w:rPr>
        <w:t>稳定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详见表4-6。</w:t>
      </w:r>
    </w:p>
    <w:p w14:paraId="221FC196">
      <w:pPr>
        <w:spacing w:after="120" w:afterLines="50" w:line="540" w:lineRule="exact"/>
        <w:rPr>
          <w:rFonts w:asciiTheme="minorEastAsia" w:hAnsiTheme="minorEastAsia" w:eastAsiaTheme="minorEastAsia" w:cs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表4-6：        2024年1-12月份城区河流断面水质监测汇总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145"/>
        <w:gridCol w:w="1711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794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62BA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332F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B10E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94B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A3C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3D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34C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0A4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99A"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B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FAD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30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B86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E1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E9F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6E89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567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04ED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6B3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3F20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DBB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E945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C8A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FFB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8FD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FE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A47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2C1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F1E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A9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632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03A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9598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B3B9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71A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26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2631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342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D825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F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90A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73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C6E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11C"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B77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BC0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B58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91E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0913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47A7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CB2E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381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33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220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118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385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0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29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2E3"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5"/>
    </w:tbl>
    <w:p w14:paraId="2DA73158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（七）</w:t>
      </w:r>
      <w:bookmarkEnd w:id="34"/>
      <w:r>
        <w:rPr>
          <w:rFonts w:hint="eastAsia"/>
          <w:b/>
          <w:bCs/>
          <w:kern w:val="0"/>
          <w:sz w:val="32"/>
          <w:szCs w:val="32"/>
          <w:highlight w:val="none"/>
        </w:rPr>
        <w:t>石寨河水质状况</w:t>
      </w:r>
    </w:p>
    <w:p w14:paraId="54EE12EE">
      <w:pPr>
        <w:adjustRightInd w:val="0"/>
        <w:snapToGrid w:val="0"/>
        <w:spacing w:line="56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今年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11</w:t>
      </w:r>
      <w:r>
        <w:rPr>
          <w:rFonts w:hint="eastAsia" w:ascii="宋体" w:hAnsi="宋体" w:cs="宋体"/>
          <w:sz w:val="30"/>
          <w:szCs w:val="30"/>
        </w:rPr>
        <w:t>月，</w:t>
      </w:r>
      <w:r>
        <w:rPr>
          <w:sz w:val="30"/>
          <w:szCs w:val="30"/>
        </w:rPr>
        <w:t>我县</w:t>
      </w:r>
      <w:r>
        <w:rPr>
          <w:rFonts w:hint="eastAsia"/>
          <w:sz w:val="30"/>
          <w:szCs w:val="30"/>
        </w:rPr>
        <w:t>石寨河</w:t>
      </w:r>
      <w:r>
        <w:rPr>
          <w:sz w:val="30"/>
          <w:szCs w:val="30"/>
        </w:rPr>
        <w:t>（</w:t>
      </w:r>
      <w:r>
        <w:rPr>
          <w:rFonts w:hint="eastAsia"/>
          <w:sz w:val="30"/>
          <w:szCs w:val="30"/>
        </w:rPr>
        <w:t>榕树下</w:t>
      </w:r>
      <w:r>
        <w:rPr>
          <w:sz w:val="30"/>
          <w:szCs w:val="30"/>
        </w:rPr>
        <w:t>）水质监测结果为</w:t>
      </w:r>
      <w:r>
        <w:rPr>
          <w:rFonts w:hint="eastAsia"/>
          <w:sz w:val="30"/>
          <w:szCs w:val="30"/>
        </w:rPr>
        <w:t>Ⅲ</w:t>
      </w:r>
      <w:r>
        <w:rPr>
          <w:sz w:val="30"/>
          <w:szCs w:val="30"/>
        </w:rPr>
        <w:t>类，</w:t>
      </w:r>
      <w:r>
        <w:rPr>
          <w:rFonts w:hint="eastAsia"/>
          <w:sz w:val="30"/>
          <w:szCs w:val="30"/>
          <w:lang w:val="en-US" w:eastAsia="zh-CN"/>
        </w:rPr>
        <w:t>未</w:t>
      </w:r>
      <w:r>
        <w:rPr>
          <w:rFonts w:hint="eastAsia"/>
          <w:sz w:val="30"/>
          <w:szCs w:val="30"/>
        </w:rPr>
        <w:t>达到目标水质Ⅱ类要求，</w:t>
      </w:r>
      <w:r>
        <w:rPr>
          <w:rFonts w:hint="eastAsia" w:ascii="宋体" w:hAnsi="宋体" w:cs="宋体"/>
          <w:sz w:val="30"/>
          <w:szCs w:val="30"/>
        </w:rPr>
        <w:t>主要污染物为</w:t>
      </w:r>
      <w:r>
        <w:rPr>
          <w:rFonts w:hint="eastAsia"/>
          <w:sz w:val="30"/>
          <w:szCs w:val="30"/>
          <w:lang w:val="en-US" w:eastAsia="zh-CN"/>
        </w:rPr>
        <w:t>氨氮。与10</w:t>
      </w:r>
      <w:r>
        <w:rPr>
          <w:rFonts w:hint="eastAsia"/>
          <w:sz w:val="30"/>
          <w:szCs w:val="30"/>
        </w:rPr>
        <w:t>月份相比，</w:t>
      </w:r>
      <w:r>
        <w:rPr>
          <w:rFonts w:hint="eastAsia" w:ascii="宋体" w:hAnsi="宋体" w:cs="宋体"/>
          <w:sz w:val="30"/>
          <w:szCs w:val="30"/>
        </w:rPr>
        <w:t>水质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保持稳定</w:t>
      </w:r>
      <w:r>
        <w:rPr>
          <w:rFonts w:hint="eastAsia" w:ascii="宋体" w:hAnsi="宋体" w:cs="宋体"/>
          <w:sz w:val="30"/>
          <w:szCs w:val="30"/>
        </w:rPr>
        <w:t>。详见表4-7。</w:t>
      </w:r>
    </w:p>
    <w:p w14:paraId="2C54C6FB">
      <w:pPr>
        <w:tabs>
          <w:tab w:val="left" w:pos="4433"/>
          <w:tab w:val="center" w:pos="7062"/>
        </w:tabs>
        <w:spacing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sz w:val="30"/>
          <w:szCs w:val="30"/>
        </w:rPr>
        <w:t>表4-7 ：    2024年1-12月份石寨河（榕树下）</w:t>
      </w:r>
      <w:r>
        <w:rPr>
          <w:rFonts w:hint="eastAsia" w:ascii="宋体" w:hAnsi="宋体" w:cs="宋体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343"/>
        <w:gridCol w:w="807"/>
        <w:gridCol w:w="44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45"/>
      </w:tblGrid>
      <w:tr w14:paraId="03E32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02E8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B0BF4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2295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3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50BF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F9B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BB64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19A3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5C7F">
            <w:pPr>
              <w:widowControl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8B5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B94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B95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17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0C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686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DE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75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738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58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7F4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A1D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3A63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10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94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石寨河</w:t>
            </w:r>
          </w:p>
          <w:p w14:paraId="38D54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榕树下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1B84"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Ⅲ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111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39C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9F8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ACC9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1C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DC7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930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73BF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5F2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C3B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401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F56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5676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outlineLvl w:val="1"/>
        <w:rPr>
          <w:sz w:val="32"/>
          <w:szCs w:val="32"/>
          <w:highlight w:val="none"/>
        </w:rPr>
      </w:pPr>
      <w:bookmarkStart w:id="36" w:name="_Toc255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（八）</w:t>
      </w:r>
      <w:bookmarkEnd w:id="36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石窟河（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eastAsia="zh-CN"/>
        </w:rPr>
        <w:t>蕉岭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）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一级支流水质状况</w:t>
      </w:r>
    </w:p>
    <w:p w14:paraId="0B304B35">
      <w:pPr>
        <w:spacing w:line="560" w:lineRule="exact"/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今年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月，我县石窟河</w:t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蕉岭</w:t>
      </w:r>
      <w:r>
        <w:rPr>
          <w:rFonts w:hint="eastAsia" w:ascii="宋体" w:hAnsi="宋体" w:cs="宋体"/>
          <w:kern w:val="0"/>
          <w:sz w:val="30"/>
          <w:szCs w:val="30"/>
        </w:rPr>
        <w:t>）</w:t>
      </w:r>
      <w:r>
        <w:rPr>
          <w:rFonts w:hint="eastAsia"/>
          <w:sz w:val="30"/>
          <w:szCs w:val="30"/>
        </w:rPr>
        <w:t>一级支流监测断面6个，经监测结果表明：园丰大桥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高陂桥</w:t>
      </w:r>
      <w:r>
        <w:rPr>
          <w:rFonts w:hint="eastAsia"/>
          <w:sz w:val="30"/>
          <w:szCs w:val="30"/>
          <w:lang w:eastAsia="zh-CN"/>
        </w:rPr>
        <w:t>、象岭桥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个断面水质</w:t>
      </w:r>
      <w:r>
        <w:rPr>
          <w:rFonts w:hint="eastAsia"/>
          <w:sz w:val="30"/>
          <w:szCs w:val="30"/>
          <w:lang w:val="en-US" w:eastAsia="zh-CN"/>
        </w:rPr>
        <w:t>均</w:t>
      </w:r>
      <w:r>
        <w:rPr>
          <w:rFonts w:hint="eastAsia"/>
          <w:sz w:val="30"/>
          <w:szCs w:val="30"/>
        </w:rPr>
        <w:t>为Ⅱ类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rFonts w:hint="eastAsia"/>
          <w:sz w:val="30"/>
          <w:szCs w:val="30"/>
        </w:rPr>
        <w:t>差干河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溪峰河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犁壁滩</w:t>
      </w:r>
      <w:r>
        <w:rPr>
          <w:rFonts w:hint="eastAsia"/>
          <w:sz w:val="30"/>
          <w:szCs w:val="30"/>
          <w:lang w:val="en-US" w:eastAsia="zh-CN"/>
        </w:rPr>
        <w:t>3个</w:t>
      </w:r>
      <w:r>
        <w:rPr>
          <w:rFonts w:hint="eastAsia"/>
          <w:sz w:val="30"/>
          <w:szCs w:val="30"/>
        </w:rPr>
        <w:t>断面水质</w:t>
      </w:r>
      <w:r>
        <w:rPr>
          <w:sz w:val="30"/>
          <w:szCs w:val="30"/>
        </w:rPr>
        <w:t>为</w:t>
      </w:r>
      <w:r>
        <w:rPr>
          <w:rFonts w:hint="eastAsia"/>
          <w:sz w:val="30"/>
          <w:szCs w:val="30"/>
        </w:rPr>
        <w:t>Ⅲ</w:t>
      </w:r>
      <w:r>
        <w:rPr>
          <w:sz w:val="30"/>
          <w:szCs w:val="30"/>
        </w:rPr>
        <w:t>类</w:t>
      </w:r>
      <w:r>
        <w:rPr>
          <w:rFonts w:hint="eastAsia" w:ascii="宋体" w:hAnsi="宋体" w:cs="宋体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与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月份相比，</w:t>
      </w:r>
      <w:r>
        <w:rPr>
          <w:rFonts w:hint="eastAsia"/>
          <w:sz w:val="30"/>
          <w:szCs w:val="30"/>
        </w:rPr>
        <w:t>园丰大桥、差干河、高陂桥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溪峰河</w:t>
      </w:r>
      <w:r>
        <w:rPr>
          <w:rFonts w:hint="eastAsia"/>
          <w:sz w:val="30"/>
          <w:szCs w:val="30"/>
          <w:lang w:eastAsia="zh-CN"/>
        </w:rPr>
        <w:t>、象岭桥</w:t>
      </w:r>
      <w:r>
        <w:rPr>
          <w:rFonts w:hint="eastAsia"/>
          <w:sz w:val="30"/>
          <w:szCs w:val="30"/>
          <w:lang w:val="en-US" w:eastAsia="zh-CN"/>
        </w:rPr>
        <w:t>5个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断面水质保持稳定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；</w:t>
      </w:r>
      <w:r>
        <w:rPr>
          <w:rFonts w:hint="eastAsia"/>
          <w:sz w:val="30"/>
          <w:szCs w:val="30"/>
        </w:rPr>
        <w:t>犁壁滩断面水质变差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详见表4-8。</w:t>
      </w:r>
    </w:p>
    <w:p w14:paraId="7CE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20" w:afterLines="50" w:line="560" w:lineRule="exact"/>
        <w:textAlignment w:val="auto"/>
        <w:rPr>
          <w:rFonts w:asciiTheme="minorEastAsia" w:hAnsiTheme="minorEastAsia" w:eastAsiaTheme="minorEastAsia" w:cs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表4-8： 2024年 1-12月份石窟河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蕉岭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104" w:tblpY="110"/>
        <w:tblOverlap w:val="never"/>
        <w:tblW w:w="10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63C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469A9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6744D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CFEF26C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ED29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D3A868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0A8FE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319D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1F6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DF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43A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B052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0032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698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1417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9E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7E16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A3A3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FA7E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3892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C174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C30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AFBB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E89F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12EA">
            <w:pPr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06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DA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4A5F0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965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8283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8DDC45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Ⅰ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A2364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B535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F02A2C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541DB9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EFD66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9BBD40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3DB984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8C6A3F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541C487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2EFCF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85390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3A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F8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4E81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089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E2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A6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3D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D2B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A52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AAA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46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3A6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FAD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01B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1CE8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F427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96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60DD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6868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B219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B46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43D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A55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24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249E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4E4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54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BC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C4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6E8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8958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6ED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522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CBB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DED18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1B7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32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383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94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997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AAC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18E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75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11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695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18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5A0E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2FD9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54C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8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3E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0677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19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9B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110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1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A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3E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B08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1FA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381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CD0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35E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AE03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191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AB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7FD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87FC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17B">
            <w:pPr>
              <w:widowControl/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EA91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象岭</w:t>
            </w:r>
            <w:r>
              <w:rPr>
                <w:rFonts w:hint="eastAsia"/>
                <w:sz w:val="24"/>
                <w:szCs w:val="24"/>
              </w:rPr>
              <w:t>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C0E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915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5B7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1E9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4BB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97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3F95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5A8F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5A26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58FD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7A5F">
            <w:pPr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F6E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96A8"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3391CF">
      <w:pPr>
        <w:tabs>
          <w:tab w:val="left" w:pos="5363"/>
        </w:tabs>
        <w:spacing w:after="120" w:afterLines="50" w:line="560" w:lineRule="exact"/>
        <w:ind w:firstLine="2249" w:firstLineChars="700"/>
        <w:jc w:val="left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水环境质量状况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 w:eastAsia="宋体"/>
          <w:kern w:val="2"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  <w:lang w:val="en-US" w:eastAsia="zh-CN"/>
        </w:rPr>
        <w:t>2024</w:t>
      </w:r>
      <w:r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  <w:lang w:val="en-US" w:eastAsia="zh-CN"/>
        </w:rPr>
        <w:t>11</w:t>
      </w:r>
      <w:r>
        <w:rPr>
          <w:rFonts w:hint="eastAsia"/>
          <w:bCs/>
          <w:sz w:val="30"/>
          <w:szCs w:val="30"/>
        </w:rPr>
        <w:t>月，全县8个镇2</w:t>
      </w:r>
      <w:r>
        <w:rPr>
          <w:rFonts w:hint="eastAsia"/>
          <w:bCs/>
          <w:sz w:val="30"/>
          <w:szCs w:val="30"/>
          <w:lang w:val="en-US" w:eastAsia="zh-CN"/>
        </w:rPr>
        <w:t>1</w:t>
      </w:r>
      <w:r>
        <w:rPr>
          <w:rFonts w:hint="eastAsia"/>
          <w:bCs/>
          <w:sz w:val="30"/>
          <w:szCs w:val="30"/>
        </w:rPr>
        <w:t>个水质考核断面</w:t>
      </w:r>
      <w:r>
        <w:rPr>
          <w:rFonts w:hint="eastAsia"/>
          <w:bCs/>
          <w:sz w:val="30"/>
          <w:szCs w:val="30"/>
          <w:lang w:eastAsia="zh-CN"/>
        </w:rPr>
        <w:t>，其中福塔大桥（广福镇）</w:t>
      </w:r>
      <w:r>
        <w:rPr>
          <w:rFonts w:hint="eastAsia"/>
          <w:bCs/>
          <w:sz w:val="30"/>
          <w:szCs w:val="30"/>
          <w:lang w:val="en-US" w:eastAsia="zh-CN"/>
        </w:rPr>
        <w:t>1个断面因水样浑浊，未取样检测外，其他20个水质考核断面</w:t>
      </w:r>
      <w:r>
        <w:rPr>
          <w:rFonts w:hint="eastAsia"/>
          <w:bCs/>
          <w:sz w:val="30"/>
          <w:szCs w:val="30"/>
        </w:rPr>
        <w:t>监测结果显示：</w:t>
      </w:r>
      <w:r>
        <w:rPr>
          <w:rFonts w:hint="eastAsia"/>
          <w:bCs/>
          <w:sz w:val="30"/>
          <w:szCs w:val="30"/>
          <w:lang w:eastAsia="zh-CN"/>
        </w:rPr>
        <w:t>五杠楼、九岭电排（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）、犁壁滩、福头、公墓山、石峰径、白渡沙坪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、堑垣出水口、沙尾出水口、杞林电排（长潭镇）、大治桥、高思出水口（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）、镇山亭、</w:t>
      </w:r>
      <w:r>
        <w:rPr>
          <w:rFonts w:hint="eastAsia"/>
          <w:bCs/>
          <w:sz w:val="30"/>
          <w:szCs w:val="30"/>
          <w:lang w:val="en-US" w:eastAsia="zh-CN"/>
        </w:rPr>
        <w:t>滑子坑（南磜镇）、乌土村下墩、红星河乌土村下墩交汇处上游15m（文福镇）16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达到目标水质要求。蕉城镇3个考核断面水质在Ⅳ～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Ⅴ类之间；三圳镇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个考核断面水质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类；新铺镇5个考核断面水质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个考核断面水质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；蓝坊镇2个考核断面水质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个考核断面水质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；文福镇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个考核断面水质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10</w:t>
      </w:r>
      <w:r>
        <w:rPr>
          <w:rFonts w:hint="eastAsia"/>
          <w:bCs/>
          <w:sz w:val="30"/>
          <w:szCs w:val="30"/>
        </w:rPr>
        <w:t>月份相比水质变差的断面</w:t>
      </w:r>
      <w:r>
        <w:rPr>
          <w:rFonts w:hint="eastAsia"/>
          <w:bCs/>
          <w:sz w:val="30"/>
          <w:szCs w:val="30"/>
          <w:lang w:eastAsia="zh-CN"/>
        </w:rPr>
        <w:t>为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个。</w:t>
      </w:r>
      <w:r>
        <w:rPr>
          <w:rFonts w:hint="eastAsia"/>
          <w:kern w:val="2"/>
          <w:sz w:val="30"/>
          <w:szCs w:val="30"/>
        </w:rPr>
        <w:t>详见表5-</w:t>
      </w:r>
      <w:r>
        <w:rPr>
          <w:rFonts w:hint="eastAsia"/>
          <w:kern w:val="2"/>
          <w:sz w:val="30"/>
          <w:szCs w:val="30"/>
          <w:lang w:val="en-US" w:eastAsia="zh-CN"/>
        </w:rPr>
        <w:t>1</w:t>
      </w:r>
      <w:r>
        <w:rPr>
          <w:rFonts w:hint="eastAsia"/>
          <w:kern w:val="2"/>
          <w:sz w:val="30"/>
          <w:szCs w:val="30"/>
          <w:lang w:eastAsia="zh-CN"/>
        </w:rPr>
        <w:t>。</w:t>
      </w:r>
    </w:p>
    <w:p w14:paraId="4775FD87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B34183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339FE6F0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6C328124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1A0AAD92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kern w:val="2"/>
          <w:sz w:val="30"/>
          <w:szCs w:val="30"/>
        </w:rPr>
      </w:pPr>
    </w:p>
    <w:p w14:paraId="7E45206A">
      <w:pPr>
        <w:tabs>
          <w:tab w:val="left" w:pos="1310"/>
          <w:tab w:val="center" w:pos="7062"/>
        </w:tabs>
        <w:spacing w:line="360" w:lineRule="exact"/>
        <w:rPr>
          <w:rFonts w:ascii="宋体" w:hAnsi="宋体" w:cs="宋体"/>
          <w:b/>
          <w:sz w:val="28"/>
          <w:szCs w:val="28"/>
        </w:rPr>
      </w:pPr>
    </w:p>
    <w:p w14:paraId="51ED817E">
      <w:pPr>
        <w:tabs>
          <w:tab w:val="left" w:pos="1310"/>
          <w:tab w:val="center" w:pos="7062"/>
        </w:tabs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5-1:</w:t>
      </w:r>
      <w:r>
        <w:rPr>
          <w:rFonts w:hint="eastAsia" w:ascii="宋体" w:hAnsi="宋体" w:cs="宋体"/>
          <w:b/>
          <w:bCs/>
          <w:sz w:val="28"/>
          <w:szCs w:val="28"/>
        </w:rPr>
        <w:t>2024年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～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月份蕉岭县各乡镇水环境质量考核监测情况</w:t>
      </w:r>
    </w:p>
    <w:p w14:paraId="503D8995">
      <w:pPr>
        <w:tabs>
          <w:tab w:val="left" w:pos="1310"/>
          <w:tab w:val="center" w:pos="7062"/>
        </w:tabs>
        <w:spacing w:line="3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630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B8F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EFDBC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乡镇/</w:t>
            </w:r>
          </w:p>
          <w:p w14:paraId="2427625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责任主体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382B7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考核点位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74C1E5F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考核</w:t>
            </w:r>
          </w:p>
          <w:p w14:paraId="4F94528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D41A4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2024年10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月份</w:t>
            </w:r>
          </w:p>
          <w:p w14:paraId="68F8BC2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考核结果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77F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2024年11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月份</w:t>
            </w:r>
          </w:p>
          <w:p w14:paraId="3FAA1C0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考核结果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0EE4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变化</w:t>
            </w:r>
          </w:p>
          <w:p w14:paraId="53CC7DF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6A1D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是否</w:t>
            </w:r>
          </w:p>
          <w:p w14:paraId="23EB2B7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67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F8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240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A32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E5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537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578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96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840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B13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16D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2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9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4C8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1A5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62A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94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A62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C7746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19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26EA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FA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8B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1FE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15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DDB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E9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3F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2D7F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63A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A54C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0229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143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AA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85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843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4DC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96D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DB0D">
            <w:pPr>
              <w:jc w:val="center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6345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D52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283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85A3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2EC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30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B4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87B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035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220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FF32">
            <w:pPr>
              <w:jc w:val="center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BEE8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74C1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CA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6F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6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C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028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8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8FD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FBAB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765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E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5AE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9D5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56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D8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E9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ADD0B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B4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5DE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F66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53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B0A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2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55E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B8C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F8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9A8E0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245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BA43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721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4B19">
            <w:pPr>
              <w:jc w:val="center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15AF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9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FD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850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549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E76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55997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072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491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785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D01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72531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12C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9701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937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67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A947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E7F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DAD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250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FD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6585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83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B83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31F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3C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BF80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17EED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533AA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24BD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670B5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1BC1A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0AE24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64A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70F3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4E8FAE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00D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3866D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AA4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26B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E28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C5F7">
            <w:pPr>
              <w:jc w:val="center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77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C9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3116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62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9E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C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486F8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3E6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08B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DCD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C09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BE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05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1A4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3A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6AE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76F2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B157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FF47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75B5A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D60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5EE6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A262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A815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0953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变好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A8E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7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14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844BB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088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F95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567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04D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E5D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CAF7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18F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4A0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A07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4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5F38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D4D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025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18F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6F4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8CE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8E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345C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DFCB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9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8D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25305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5F0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F06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AF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AA7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A770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275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48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D7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B88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5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C4505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1024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45F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8B17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382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3FB8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F15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01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323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C9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1B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1AEE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E18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C40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76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406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0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803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C3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9F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DA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C8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4B2CD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EA05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3A8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039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42D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18DE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DE6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8D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72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27B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0B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EA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004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红星河乌土村下墩交汇处上游15m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052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DF3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89F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A62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70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995A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ABF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9C3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D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20D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4C5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4C26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996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87D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1D1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90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9F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C8BE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</w:tr>
      <w:tr w14:paraId="38D4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9DC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525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1、监测项目：PH值、高锰酸盐指数、化学需氧量、氨氮、总磷；</w:t>
            </w:r>
          </w:p>
          <w:p w14:paraId="6380F938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671738F9"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7C1A588A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F48A62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7F3353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0A5F18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3982C8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E051B2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43DDA42">
      <w:pPr>
        <w:tabs>
          <w:tab w:val="left" w:pos="1437"/>
          <w:tab w:val="center" w:pos="4484"/>
        </w:tabs>
        <w:spacing w:before="240" w:beforeLines="100" w:after="120" w:afterLines="50" w:line="320" w:lineRule="exact"/>
        <w:rPr>
          <w:b/>
          <w:sz w:val="32"/>
          <w:szCs w:val="32"/>
        </w:rPr>
      </w:pPr>
    </w:p>
    <w:p w14:paraId="404C35E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蕉岭县各镇水和空气考核监测断面点位图</w:t>
      </w:r>
    </w:p>
    <w:p w14:paraId="7108A471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60286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▲水质考核断面        ●空气考核点位</w:t>
      </w:r>
    </w:p>
    <w:sectPr>
      <w:pgSz w:w="11906" w:h="16838"/>
      <w:pgMar w:top="1985" w:right="1588" w:bottom="851" w:left="1474" w:header="851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7EC1">
    <w:pPr>
      <w:pStyle w:val="10"/>
      <w:jc w:val="center"/>
      <w:rPr>
        <w:sz w:val="24"/>
        <w:szCs w:val="24"/>
      </w:rPr>
    </w:pPr>
  </w:p>
  <w:p w14:paraId="08F2D0D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5483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1D193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193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CAA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38C4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8C44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CA8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758A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87F5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7F59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22D1EB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7607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483A0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3A0D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BC16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A78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AA5C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A5C0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48B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941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C5D6">
    <w:pPr>
      <w:pStyle w:val="11"/>
    </w:pPr>
    <w:r>
      <w:rPr>
        <w:rFonts w:hint="eastAsia"/>
        <w:b/>
        <w:color w:val="1F497D"/>
        <w:sz w:val="24"/>
        <w:szCs w:val="24"/>
      </w:rPr>
      <w:t>2024年</w:t>
    </w:r>
    <w:r>
      <w:rPr>
        <w:rFonts w:hint="eastAsia"/>
        <w:b/>
        <w:color w:val="1F497D"/>
        <w:sz w:val="24"/>
        <w:szCs w:val="24"/>
        <w:lang w:val="en-US" w:eastAsia="zh-CN"/>
      </w:rPr>
      <w:t>11</w:t>
    </w:r>
    <w:r>
      <w:rPr>
        <w:rFonts w:hint="eastAsia"/>
        <w:b/>
        <w:color w:val="1F497D"/>
        <w:sz w:val="24"/>
        <w:szCs w:val="24"/>
      </w:rPr>
      <w:t>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D5BD">
    <w:pPr>
      <w:pStyle w:val="11"/>
    </w:pPr>
    <w:r>
      <w:rPr>
        <w:rFonts w:hint="eastAsia"/>
        <w:b/>
        <w:color w:val="1F497D"/>
        <w:sz w:val="24"/>
        <w:szCs w:val="24"/>
      </w:rPr>
      <w:t>202</w:t>
    </w:r>
    <w:r>
      <w:rPr>
        <w:rFonts w:hint="eastAsia"/>
        <w:b/>
        <w:color w:val="1F497D"/>
        <w:sz w:val="24"/>
        <w:szCs w:val="24"/>
        <w:lang w:val="en-US" w:eastAsia="zh-CN"/>
      </w:rPr>
      <w:t>4</w:t>
    </w:r>
    <w:r>
      <w:rPr>
        <w:rFonts w:hint="eastAsia"/>
        <w:b/>
        <w:color w:val="1F497D"/>
        <w:sz w:val="24"/>
        <w:szCs w:val="24"/>
      </w:rPr>
      <w:t>年</w:t>
    </w:r>
    <w:r>
      <w:rPr>
        <w:rFonts w:hint="eastAsia"/>
        <w:b/>
        <w:color w:val="1F497D"/>
        <w:sz w:val="24"/>
        <w:szCs w:val="24"/>
        <w:lang w:val="en-US" w:eastAsia="zh-CN"/>
      </w:rPr>
      <w:t>11</w:t>
    </w:r>
    <w:r>
      <w:rPr>
        <w:rFonts w:hint="eastAsia"/>
        <w:b/>
        <w:color w:val="1F497D"/>
        <w:sz w:val="24"/>
        <w:szCs w:val="24"/>
      </w:rPr>
      <w:t>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7381">
    <w:pPr>
      <w:pStyle w:val="11"/>
    </w:pPr>
    <w:r>
      <w:rPr>
        <w:rFonts w:hint="eastAsia"/>
        <w:b/>
        <w:color w:val="1F497D"/>
        <w:sz w:val="24"/>
        <w:szCs w:val="24"/>
      </w:rPr>
      <w:t>2024年</w:t>
    </w:r>
    <w:r>
      <w:rPr>
        <w:rFonts w:hint="eastAsia"/>
        <w:b/>
        <w:color w:val="1F497D"/>
        <w:sz w:val="24"/>
        <w:szCs w:val="24"/>
        <w:lang w:val="en-US" w:eastAsia="zh-CN"/>
      </w:rPr>
      <w:t>11</w:t>
    </w:r>
    <w:r>
      <w:rPr>
        <w:rFonts w:hint="eastAsia"/>
        <w:b/>
        <w:color w:val="1F497D"/>
        <w:sz w:val="24"/>
        <w:szCs w:val="24"/>
      </w:rPr>
      <w:t>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CB76">
    <w:pPr>
      <w:pStyle w:val="11"/>
    </w:pPr>
    <w:r>
      <w:rPr>
        <w:rFonts w:hint="eastAsia"/>
        <w:b/>
        <w:color w:val="1F497D"/>
        <w:sz w:val="24"/>
        <w:szCs w:val="24"/>
      </w:rPr>
      <w:t>2024年</w:t>
    </w:r>
    <w:r>
      <w:rPr>
        <w:rFonts w:hint="eastAsia"/>
        <w:b/>
        <w:color w:val="1F497D"/>
        <w:sz w:val="24"/>
        <w:szCs w:val="24"/>
        <w:lang w:val="en-US" w:eastAsia="zh-CN"/>
      </w:rPr>
      <w:t>11</w:t>
    </w:r>
    <w:r>
      <w:rPr>
        <w:rFonts w:hint="eastAsia"/>
        <w:b/>
        <w:color w:val="1F497D"/>
        <w:sz w:val="24"/>
        <w:szCs w:val="24"/>
      </w:rPr>
      <w:t>月蕉岭县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0F09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77B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C71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4C4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8D48C1"/>
    <w:rsid w:val="018E3307"/>
    <w:rsid w:val="01E06997"/>
    <w:rsid w:val="01FA5AA9"/>
    <w:rsid w:val="020B4280"/>
    <w:rsid w:val="02185BCF"/>
    <w:rsid w:val="021C231D"/>
    <w:rsid w:val="023D62B9"/>
    <w:rsid w:val="023E7C55"/>
    <w:rsid w:val="024327DC"/>
    <w:rsid w:val="025F32C2"/>
    <w:rsid w:val="02A0237B"/>
    <w:rsid w:val="02A334CC"/>
    <w:rsid w:val="02B10E4C"/>
    <w:rsid w:val="02B37296"/>
    <w:rsid w:val="02D56C01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F0B17"/>
    <w:rsid w:val="053011DB"/>
    <w:rsid w:val="053F55E1"/>
    <w:rsid w:val="055C2923"/>
    <w:rsid w:val="05776F1C"/>
    <w:rsid w:val="05A44107"/>
    <w:rsid w:val="05B847AA"/>
    <w:rsid w:val="05BA1BE1"/>
    <w:rsid w:val="05E47CA0"/>
    <w:rsid w:val="05E7487E"/>
    <w:rsid w:val="05EA62AB"/>
    <w:rsid w:val="05EF61BF"/>
    <w:rsid w:val="05F15B82"/>
    <w:rsid w:val="062844C4"/>
    <w:rsid w:val="065974A0"/>
    <w:rsid w:val="06743A1C"/>
    <w:rsid w:val="06EB6E21"/>
    <w:rsid w:val="0713706B"/>
    <w:rsid w:val="07174799"/>
    <w:rsid w:val="07AA2EF5"/>
    <w:rsid w:val="07C6685A"/>
    <w:rsid w:val="07D52E38"/>
    <w:rsid w:val="07D66265"/>
    <w:rsid w:val="07E03CBD"/>
    <w:rsid w:val="07FE5FFC"/>
    <w:rsid w:val="07FF32D1"/>
    <w:rsid w:val="08046902"/>
    <w:rsid w:val="084C5A73"/>
    <w:rsid w:val="085E0FF6"/>
    <w:rsid w:val="087178B0"/>
    <w:rsid w:val="08803C8E"/>
    <w:rsid w:val="08B12FEB"/>
    <w:rsid w:val="08D868A4"/>
    <w:rsid w:val="0919077E"/>
    <w:rsid w:val="094D39E0"/>
    <w:rsid w:val="099E7023"/>
    <w:rsid w:val="09FB70A2"/>
    <w:rsid w:val="0A715969"/>
    <w:rsid w:val="0A8D16F0"/>
    <w:rsid w:val="0AF1145C"/>
    <w:rsid w:val="0B3B6C83"/>
    <w:rsid w:val="0B4F5446"/>
    <w:rsid w:val="0B8F3C97"/>
    <w:rsid w:val="0B914B26"/>
    <w:rsid w:val="0BC60700"/>
    <w:rsid w:val="0C5948F2"/>
    <w:rsid w:val="0CDD7541"/>
    <w:rsid w:val="0CDE6FEB"/>
    <w:rsid w:val="0D120894"/>
    <w:rsid w:val="0D1B67E4"/>
    <w:rsid w:val="0D2C6F50"/>
    <w:rsid w:val="0D46328A"/>
    <w:rsid w:val="0D50031E"/>
    <w:rsid w:val="0D70086F"/>
    <w:rsid w:val="0D717978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BF01CB"/>
    <w:rsid w:val="0EDC2FC5"/>
    <w:rsid w:val="0EFD0AC2"/>
    <w:rsid w:val="0F0E19EA"/>
    <w:rsid w:val="0F124AA1"/>
    <w:rsid w:val="0F1E389D"/>
    <w:rsid w:val="0F3155B9"/>
    <w:rsid w:val="0F6222D9"/>
    <w:rsid w:val="0F89761D"/>
    <w:rsid w:val="0F8B1B5D"/>
    <w:rsid w:val="0FB863E0"/>
    <w:rsid w:val="0FDC5DFA"/>
    <w:rsid w:val="10541CF9"/>
    <w:rsid w:val="10886661"/>
    <w:rsid w:val="10A84954"/>
    <w:rsid w:val="10AA28C1"/>
    <w:rsid w:val="10AF15EB"/>
    <w:rsid w:val="10BB15CF"/>
    <w:rsid w:val="10BC2989"/>
    <w:rsid w:val="11223393"/>
    <w:rsid w:val="112B2087"/>
    <w:rsid w:val="11392CDA"/>
    <w:rsid w:val="11696327"/>
    <w:rsid w:val="116C7DCD"/>
    <w:rsid w:val="117E0182"/>
    <w:rsid w:val="11B26469"/>
    <w:rsid w:val="11C10344"/>
    <w:rsid w:val="11C76AD1"/>
    <w:rsid w:val="11D40C84"/>
    <w:rsid w:val="120859E0"/>
    <w:rsid w:val="126A4DEB"/>
    <w:rsid w:val="12800DF2"/>
    <w:rsid w:val="12933082"/>
    <w:rsid w:val="12C51EB3"/>
    <w:rsid w:val="12C846BE"/>
    <w:rsid w:val="12E62AC7"/>
    <w:rsid w:val="12FF7555"/>
    <w:rsid w:val="1333082D"/>
    <w:rsid w:val="13365775"/>
    <w:rsid w:val="133B1439"/>
    <w:rsid w:val="136D69B9"/>
    <w:rsid w:val="138D75D2"/>
    <w:rsid w:val="13B5343F"/>
    <w:rsid w:val="13B859D3"/>
    <w:rsid w:val="143955B6"/>
    <w:rsid w:val="143D4A69"/>
    <w:rsid w:val="144A720D"/>
    <w:rsid w:val="14A95058"/>
    <w:rsid w:val="14BA78A7"/>
    <w:rsid w:val="14D11DA1"/>
    <w:rsid w:val="14DE15E1"/>
    <w:rsid w:val="14E87B15"/>
    <w:rsid w:val="15A119FE"/>
    <w:rsid w:val="15CD643B"/>
    <w:rsid w:val="15E1627D"/>
    <w:rsid w:val="1601359D"/>
    <w:rsid w:val="16637F30"/>
    <w:rsid w:val="16A335F9"/>
    <w:rsid w:val="16CF6214"/>
    <w:rsid w:val="170B27D1"/>
    <w:rsid w:val="17122922"/>
    <w:rsid w:val="175C7943"/>
    <w:rsid w:val="17885C3C"/>
    <w:rsid w:val="17AF7825"/>
    <w:rsid w:val="17C61B06"/>
    <w:rsid w:val="17CA7C4F"/>
    <w:rsid w:val="17EB16E2"/>
    <w:rsid w:val="180C25E9"/>
    <w:rsid w:val="18485F8A"/>
    <w:rsid w:val="1850610B"/>
    <w:rsid w:val="186A4E44"/>
    <w:rsid w:val="189435E6"/>
    <w:rsid w:val="18BF364E"/>
    <w:rsid w:val="18C701F5"/>
    <w:rsid w:val="18CD319D"/>
    <w:rsid w:val="18D90978"/>
    <w:rsid w:val="194B1E5C"/>
    <w:rsid w:val="198E4235"/>
    <w:rsid w:val="19C02575"/>
    <w:rsid w:val="1A1654BD"/>
    <w:rsid w:val="1A192EB7"/>
    <w:rsid w:val="1A886766"/>
    <w:rsid w:val="1A971B74"/>
    <w:rsid w:val="1ACD761A"/>
    <w:rsid w:val="1ACE6336"/>
    <w:rsid w:val="1ADC6EA1"/>
    <w:rsid w:val="1B4467E8"/>
    <w:rsid w:val="1B850673"/>
    <w:rsid w:val="1BE51053"/>
    <w:rsid w:val="1BE543F1"/>
    <w:rsid w:val="1C197E29"/>
    <w:rsid w:val="1C1C4833"/>
    <w:rsid w:val="1C236E44"/>
    <w:rsid w:val="1C417A34"/>
    <w:rsid w:val="1C6B3A0D"/>
    <w:rsid w:val="1C7B5880"/>
    <w:rsid w:val="1D080624"/>
    <w:rsid w:val="1D294F72"/>
    <w:rsid w:val="1D9F00E6"/>
    <w:rsid w:val="1DC063FA"/>
    <w:rsid w:val="1DE64E6A"/>
    <w:rsid w:val="1DF75E5C"/>
    <w:rsid w:val="1E1553DE"/>
    <w:rsid w:val="1E3F4FCB"/>
    <w:rsid w:val="1E5D3019"/>
    <w:rsid w:val="1E937C26"/>
    <w:rsid w:val="1E9F319D"/>
    <w:rsid w:val="1EAB7687"/>
    <w:rsid w:val="1F2B6DA1"/>
    <w:rsid w:val="1F2E66EC"/>
    <w:rsid w:val="1F3E3153"/>
    <w:rsid w:val="1F75782B"/>
    <w:rsid w:val="201266AA"/>
    <w:rsid w:val="203E523C"/>
    <w:rsid w:val="209321E7"/>
    <w:rsid w:val="209D4ED4"/>
    <w:rsid w:val="20A35F73"/>
    <w:rsid w:val="20CD01FA"/>
    <w:rsid w:val="20D015E5"/>
    <w:rsid w:val="20E30AB9"/>
    <w:rsid w:val="213346CD"/>
    <w:rsid w:val="21454C51"/>
    <w:rsid w:val="215B030A"/>
    <w:rsid w:val="21DD24E6"/>
    <w:rsid w:val="22204D63"/>
    <w:rsid w:val="22241AF6"/>
    <w:rsid w:val="222C7E18"/>
    <w:rsid w:val="22310660"/>
    <w:rsid w:val="223C7211"/>
    <w:rsid w:val="22425C51"/>
    <w:rsid w:val="228078F2"/>
    <w:rsid w:val="228E2539"/>
    <w:rsid w:val="22D50387"/>
    <w:rsid w:val="23244644"/>
    <w:rsid w:val="233035F4"/>
    <w:rsid w:val="23737254"/>
    <w:rsid w:val="238A1966"/>
    <w:rsid w:val="23D27B61"/>
    <w:rsid w:val="23ED6788"/>
    <w:rsid w:val="24060CDB"/>
    <w:rsid w:val="24293547"/>
    <w:rsid w:val="24735C47"/>
    <w:rsid w:val="24D8141B"/>
    <w:rsid w:val="24D821CD"/>
    <w:rsid w:val="24F10EC2"/>
    <w:rsid w:val="24FA7E9F"/>
    <w:rsid w:val="24FE0405"/>
    <w:rsid w:val="253476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E440E3"/>
    <w:rsid w:val="271F2118"/>
    <w:rsid w:val="27234D03"/>
    <w:rsid w:val="27435A8A"/>
    <w:rsid w:val="27543D11"/>
    <w:rsid w:val="276C4BF8"/>
    <w:rsid w:val="277704B4"/>
    <w:rsid w:val="27802C90"/>
    <w:rsid w:val="27DF2BFD"/>
    <w:rsid w:val="28226C52"/>
    <w:rsid w:val="283D7647"/>
    <w:rsid w:val="2848699C"/>
    <w:rsid w:val="288A7747"/>
    <w:rsid w:val="289905A0"/>
    <w:rsid w:val="28E334A5"/>
    <w:rsid w:val="29391783"/>
    <w:rsid w:val="29894326"/>
    <w:rsid w:val="29910F7D"/>
    <w:rsid w:val="29D5364C"/>
    <w:rsid w:val="29E766AC"/>
    <w:rsid w:val="29F737B1"/>
    <w:rsid w:val="29FD5641"/>
    <w:rsid w:val="2A10427D"/>
    <w:rsid w:val="2A17635F"/>
    <w:rsid w:val="2A445DCA"/>
    <w:rsid w:val="2A474CA6"/>
    <w:rsid w:val="2A5A1E3A"/>
    <w:rsid w:val="2A5D2617"/>
    <w:rsid w:val="2A793F49"/>
    <w:rsid w:val="2A84317C"/>
    <w:rsid w:val="2AA81597"/>
    <w:rsid w:val="2AAD4912"/>
    <w:rsid w:val="2AB256F6"/>
    <w:rsid w:val="2ACC7240"/>
    <w:rsid w:val="2AD13701"/>
    <w:rsid w:val="2AEE349A"/>
    <w:rsid w:val="2B4F4728"/>
    <w:rsid w:val="2B74259B"/>
    <w:rsid w:val="2B94185D"/>
    <w:rsid w:val="2BE069C6"/>
    <w:rsid w:val="2C25102B"/>
    <w:rsid w:val="2C580186"/>
    <w:rsid w:val="2C767188"/>
    <w:rsid w:val="2C93706B"/>
    <w:rsid w:val="2CC31576"/>
    <w:rsid w:val="2D276191"/>
    <w:rsid w:val="2D3B57BE"/>
    <w:rsid w:val="2D503758"/>
    <w:rsid w:val="2DB404A6"/>
    <w:rsid w:val="2DB9222E"/>
    <w:rsid w:val="2DE834A8"/>
    <w:rsid w:val="2E1D34AD"/>
    <w:rsid w:val="2E1E45F3"/>
    <w:rsid w:val="2E4F23F4"/>
    <w:rsid w:val="2E5B1DFE"/>
    <w:rsid w:val="2E70600A"/>
    <w:rsid w:val="2E9360FE"/>
    <w:rsid w:val="2E9A44C3"/>
    <w:rsid w:val="2EAC5144"/>
    <w:rsid w:val="2EC00780"/>
    <w:rsid w:val="2F057BEB"/>
    <w:rsid w:val="2F424CB6"/>
    <w:rsid w:val="2F512543"/>
    <w:rsid w:val="2F6D1AE0"/>
    <w:rsid w:val="2F8859FE"/>
    <w:rsid w:val="2FA34BB4"/>
    <w:rsid w:val="2FC74134"/>
    <w:rsid w:val="2FFA4E88"/>
    <w:rsid w:val="30041FB8"/>
    <w:rsid w:val="30095CD0"/>
    <w:rsid w:val="300D6070"/>
    <w:rsid w:val="304D48C1"/>
    <w:rsid w:val="304F31DE"/>
    <w:rsid w:val="30C109DF"/>
    <w:rsid w:val="30C12E8B"/>
    <w:rsid w:val="30CA29D8"/>
    <w:rsid w:val="31217D9A"/>
    <w:rsid w:val="314F16C6"/>
    <w:rsid w:val="315675C5"/>
    <w:rsid w:val="31615040"/>
    <w:rsid w:val="316E00F3"/>
    <w:rsid w:val="319118AF"/>
    <w:rsid w:val="319A64DA"/>
    <w:rsid w:val="319E5C06"/>
    <w:rsid w:val="32433897"/>
    <w:rsid w:val="324C7D8D"/>
    <w:rsid w:val="32C3528F"/>
    <w:rsid w:val="3339197A"/>
    <w:rsid w:val="337D121F"/>
    <w:rsid w:val="337F6AC3"/>
    <w:rsid w:val="33CF3401"/>
    <w:rsid w:val="33FA161F"/>
    <w:rsid w:val="34181DAB"/>
    <w:rsid w:val="34555972"/>
    <w:rsid w:val="3458185C"/>
    <w:rsid w:val="345D31AA"/>
    <w:rsid w:val="34874BCE"/>
    <w:rsid w:val="34C91C8B"/>
    <w:rsid w:val="34EA520A"/>
    <w:rsid w:val="34F808D1"/>
    <w:rsid w:val="34F82387"/>
    <w:rsid w:val="350021F2"/>
    <w:rsid w:val="350A0D91"/>
    <w:rsid w:val="351023B7"/>
    <w:rsid w:val="35246FF1"/>
    <w:rsid w:val="3528387D"/>
    <w:rsid w:val="3540337D"/>
    <w:rsid w:val="359B3418"/>
    <w:rsid w:val="35D87E35"/>
    <w:rsid w:val="36276933"/>
    <w:rsid w:val="362F32AF"/>
    <w:rsid w:val="3635496D"/>
    <w:rsid w:val="365D076C"/>
    <w:rsid w:val="36B24676"/>
    <w:rsid w:val="36E4480F"/>
    <w:rsid w:val="370B1548"/>
    <w:rsid w:val="3717127E"/>
    <w:rsid w:val="3733265D"/>
    <w:rsid w:val="376744D4"/>
    <w:rsid w:val="378D160E"/>
    <w:rsid w:val="37AF141B"/>
    <w:rsid w:val="37BA1215"/>
    <w:rsid w:val="37CB3505"/>
    <w:rsid w:val="37FA74C8"/>
    <w:rsid w:val="380508C5"/>
    <w:rsid w:val="38577F05"/>
    <w:rsid w:val="38D839F3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A12F81"/>
    <w:rsid w:val="3BBB4DFF"/>
    <w:rsid w:val="3BF53847"/>
    <w:rsid w:val="3C7A106E"/>
    <w:rsid w:val="3CB60ACE"/>
    <w:rsid w:val="3D0559D0"/>
    <w:rsid w:val="3D375C5F"/>
    <w:rsid w:val="3D8A2458"/>
    <w:rsid w:val="3DC93BFF"/>
    <w:rsid w:val="3E0F0D36"/>
    <w:rsid w:val="3EA11E87"/>
    <w:rsid w:val="3EAB6802"/>
    <w:rsid w:val="3EAE2AD9"/>
    <w:rsid w:val="3EEA0EE4"/>
    <w:rsid w:val="3F2F670A"/>
    <w:rsid w:val="3F4A5CB4"/>
    <w:rsid w:val="3F7038A6"/>
    <w:rsid w:val="3FAF007C"/>
    <w:rsid w:val="3FEF0A89"/>
    <w:rsid w:val="40254929"/>
    <w:rsid w:val="40313F5C"/>
    <w:rsid w:val="403D04C9"/>
    <w:rsid w:val="40643758"/>
    <w:rsid w:val="40815E92"/>
    <w:rsid w:val="40C22E0C"/>
    <w:rsid w:val="40CF6DA1"/>
    <w:rsid w:val="40FE4A6B"/>
    <w:rsid w:val="415317DC"/>
    <w:rsid w:val="41864C04"/>
    <w:rsid w:val="41B64337"/>
    <w:rsid w:val="41C105AB"/>
    <w:rsid w:val="41DB3BC0"/>
    <w:rsid w:val="41E45AF9"/>
    <w:rsid w:val="41E974F0"/>
    <w:rsid w:val="42034DE0"/>
    <w:rsid w:val="42133F56"/>
    <w:rsid w:val="42287AAF"/>
    <w:rsid w:val="423A2099"/>
    <w:rsid w:val="42C057CA"/>
    <w:rsid w:val="42C55B31"/>
    <w:rsid w:val="43001749"/>
    <w:rsid w:val="43457E26"/>
    <w:rsid w:val="43653FF2"/>
    <w:rsid w:val="43864CEF"/>
    <w:rsid w:val="43EB1F28"/>
    <w:rsid w:val="442E1752"/>
    <w:rsid w:val="443768CD"/>
    <w:rsid w:val="445C6D43"/>
    <w:rsid w:val="446B4690"/>
    <w:rsid w:val="449C3A70"/>
    <w:rsid w:val="44AA33C4"/>
    <w:rsid w:val="44BC37F8"/>
    <w:rsid w:val="45103DFA"/>
    <w:rsid w:val="4546048A"/>
    <w:rsid w:val="45471AB5"/>
    <w:rsid w:val="4560091E"/>
    <w:rsid w:val="45903D49"/>
    <w:rsid w:val="45DD0F06"/>
    <w:rsid w:val="45E32354"/>
    <w:rsid w:val="46010E80"/>
    <w:rsid w:val="460A0BF0"/>
    <w:rsid w:val="46290EA8"/>
    <w:rsid w:val="46865A94"/>
    <w:rsid w:val="46BC6710"/>
    <w:rsid w:val="46C42597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F3221F"/>
    <w:rsid w:val="49521980"/>
    <w:rsid w:val="498B09A3"/>
    <w:rsid w:val="49953731"/>
    <w:rsid w:val="49A4642A"/>
    <w:rsid w:val="49B2376F"/>
    <w:rsid w:val="49BA7FDC"/>
    <w:rsid w:val="49E12F80"/>
    <w:rsid w:val="4A3D7AA7"/>
    <w:rsid w:val="4A58534A"/>
    <w:rsid w:val="4A7F7E60"/>
    <w:rsid w:val="4AB4230A"/>
    <w:rsid w:val="4ADC64B5"/>
    <w:rsid w:val="4B384222"/>
    <w:rsid w:val="4B905E88"/>
    <w:rsid w:val="4BF9004E"/>
    <w:rsid w:val="4C31494D"/>
    <w:rsid w:val="4C8408EC"/>
    <w:rsid w:val="4CDC3246"/>
    <w:rsid w:val="4CEB75F5"/>
    <w:rsid w:val="4D72548C"/>
    <w:rsid w:val="4DB3579E"/>
    <w:rsid w:val="4DFC625E"/>
    <w:rsid w:val="4E017098"/>
    <w:rsid w:val="4E1E5F4B"/>
    <w:rsid w:val="4E3208EF"/>
    <w:rsid w:val="4E586D47"/>
    <w:rsid w:val="4E782CE8"/>
    <w:rsid w:val="4E8965E2"/>
    <w:rsid w:val="4E9D5BE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4C1950"/>
    <w:rsid w:val="51A31EB6"/>
    <w:rsid w:val="51B54044"/>
    <w:rsid w:val="5205758C"/>
    <w:rsid w:val="522A5456"/>
    <w:rsid w:val="522B646B"/>
    <w:rsid w:val="524E1362"/>
    <w:rsid w:val="525635A3"/>
    <w:rsid w:val="52E003DF"/>
    <w:rsid w:val="535455FF"/>
    <w:rsid w:val="537E730A"/>
    <w:rsid w:val="538638B4"/>
    <w:rsid w:val="53890C38"/>
    <w:rsid w:val="53B86208"/>
    <w:rsid w:val="54010BDC"/>
    <w:rsid w:val="54293139"/>
    <w:rsid w:val="54446715"/>
    <w:rsid w:val="5458037F"/>
    <w:rsid w:val="546C0B09"/>
    <w:rsid w:val="547F26DD"/>
    <w:rsid w:val="54860EF0"/>
    <w:rsid w:val="54883354"/>
    <w:rsid w:val="548E0562"/>
    <w:rsid w:val="54C918C0"/>
    <w:rsid w:val="54FC6ACF"/>
    <w:rsid w:val="550A14E5"/>
    <w:rsid w:val="55212B68"/>
    <w:rsid w:val="55255B78"/>
    <w:rsid w:val="556F6861"/>
    <w:rsid w:val="55ED34B9"/>
    <w:rsid w:val="55F4312A"/>
    <w:rsid w:val="565A6EF3"/>
    <w:rsid w:val="56AC0838"/>
    <w:rsid w:val="56D63420"/>
    <w:rsid w:val="56E378C9"/>
    <w:rsid w:val="56F5589B"/>
    <w:rsid w:val="57062627"/>
    <w:rsid w:val="5732332F"/>
    <w:rsid w:val="57642BC7"/>
    <w:rsid w:val="57A27CE8"/>
    <w:rsid w:val="57EC2846"/>
    <w:rsid w:val="589C546F"/>
    <w:rsid w:val="58A218D8"/>
    <w:rsid w:val="58DF040C"/>
    <w:rsid w:val="58F505C3"/>
    <w:rsid w:val="593D7152"/>
    <w:rsid w:val="5941038D"/>
    <w:rsid w:val="596E297B"/>
    <w:rsid w:val="599D0593"/>
    <w:rsid w:val="599D0A2A"/>
    <w:rsid w:val="599D3734"/>
    <w:rsid w:val="5A1F3452"/>
    <w:rsid w:val="5A236317"/>
    <w:rsid w:val="5A270C3D"/>
    <w:rsid w:val="5A3F46C0"/>
    <w:rsid w:val="5A453DC8"/>
    <w:rsid w:val="5AAC4F55"/>
    <w:rsid w:val="5AD82FA2"/>
    <w:rsid w:val="5B285C6B"/>
    <w:rsid w:val="5B642FAA"/>
    <w:rsid w:val="5BB85FE1"/>
    <w:rsid w:val="5BC84F5C"/>
    <w:rsid w:val="5BDA12DE"/>
    <w:rsid w:val="5C1248EC"/>
    <w:rsid w:val="5C331109"/>
    <w:rsid w:val="5C3E65EE"/>
    <w:rsid w:val="5C447622"/>
    <w:rsid w:val="5CC47DAA"/>
    <w:rsid w:val="5CC670FC"/>
    <w:rsid w:val="5CED5F94"/>
    <w:rsid w:val="5CF02C02"/>
    <w:rsid w:val="5D150B39"/>
    <w:rsid w:val="5D3C6257"/>
    <w:rsid w:val="5D4064C0"/>
    <w:rsid w:val="5D447466"/>
    <w:rsid w:val="5D7C2AE1"/>
    <w:rsid w:val="5D851B97"/>
    <w:rsid w:val="5DEB7224"/>
    <w:rsid w:val="5E070671"/>
    <w:rsid w:val="5E1464E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831AF2"/>
    <w:rsid w:val="5FB316E3"/>
    <w:rsid w:val="5FDB0FD2"/>
    <w:rsid w:val="5FFB3DF1"/>
    <w:rsid w:val="6037763B"/>
    <w:rsid w:val="6043293F"/>
    <w:rsid w:val="6057003D"/>
    <w:rsid w:val="60AF6F11"/>
    <w:rsid w:val="60B41FE4"/>
    <w:rsid w:val="60D60AB8"/>
    <w:rsid w:val="610B1212"/>
    <w:rsid w:val="622D0A59"/>
    <w:rsid w:val="62461475"/>
    <w:rsid w:val="628309AE"/>
    <w:rsid w:val="62D62D24"/>
    <w:rsid w:val="62E439A9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C261C8"/>
    <w:rsid w:val="64C942A7"/>
    <w:rsid w:val="64CB52E3"/>
    <w:rsid w:val="64FE05FB"/>
    <w:rsid w:val="65010159"/>
    <w:rsid w:val="65274E19"/>
    <w:rsid w:val="652F657F"/>
    <w:rsid w:val="6546133F"/>
    <w:rsid w:val="658906D5"/>
    <w:rsid w:val="65EF2599"/>
    <w:rsid w:val="660D6217"/>
    <w:rsid w:val="66203B8F"/>
    <w:rsid w:val="6628034C"/>
    <w:rsid w:val="666617A8"/>
    <w:rsid w:val="666751E5"/>
    <w:rsid w:val="67033EED"/>
    <w:rsid w:val="670A3231"/>
    <w:rsid w:val="670E57B9"/>
    <w:rsid w:val="670F554D"/>
    <w:rsid w:val="675626E0"/>
    <w:rsid w:val="678A01FD"/>
    <w:rsid w:val="679447A4"/>
    <w:rsid w:val="67A7139C"/>
    <w:rsid w:val="67B52F73"/>
    <w:rsid w:val="67C05437"/>
    <w:rsid w:val="67C50A91"/>
    <w:rsid w:val="683D2A09"/>
    <w:rsid w:val="686046A4"/>
    <w:rsid w:val="6864362D"/>
    <w:rsid w:val="687C06AE"/>
    <w:rsid w:val="68A159C9"/>
    <w:rsid w:val="68C315BD"/>
    <w:rsid w:val="68E01237"/>
    <w:rsid w:val="68F141A2"/>
    <w:rsid w:val="6A516F6A"/>
    <w:rsid w:val="6A7F3A08"/>
    <w:rsid w:val="6A9315A4"/>
    <w:rsid w:val="6A9401DE"/>
    <w:rsid w:val="6AC97D46"/>
    <w:rsid w:val="6B397BDF"/>
    <w:rsid w:val="6B4C13FA"/>
    <w:rsid w:val="6B7A3453"/>
    <w:rsid w:val="6B825EDC"/>
    <w:rsid w:val="6B9C7D86"/>
    <w:rsid w:val="6BA2767B"/>
    <w:rsid w:val="6BE455FB"/>
    <w:rsid w:val="6C8B6DA2"/>
    <w:rsid w:val="6C970F5E"/>
    <w:rsid w:val="6CAF4131"/>
    <w:rsid w:val="6D316899"/>
    <w:rsid w:val="6DC86CAB"/>
    <w:rsid w:val="6DD17640"/>
    <w:rsid w:val="6DEB15F3"/>
    <w:rsid w:val="6DEB78EC"/>
    <w:rsid w:val="6DFD3913"/>
    <w:rsid w:val="6E025641"/>
    <w:rsid w:val="6E215335"/>
    <w:rsid w:val="6E350CD6"/>
    <w:rsid w:val="6E795D51"/>
    <w:rsid w:val="6E8E5494"/>
    <w:rsid w:val="6ED84F7B"/>
    <w:rsid w:val="6EF81D15"/>
    <w:rsid w:val="6F581DA9"/>
    <w:rsid w:val="6FB100E0"/>
    <w:rsid w:val="6FE14B18"/>
    <w:rsid w:val="6FE17C94"/>
    <w:rsid w:val="70633265"/>
    <w:rsid w:val="70B46C4C"/>
    <w:rsid w:val="71312EBE"/>
    <w:rsid w:val="71723CEF"/>
    <w:rsid w:val="717446B0"/>
    <w:rsid w:val="71866C40"/>
    <w:rsid w:val="718B2D9D"/>
    <w:rsid w:val="71DE6466"/>
    <w:rsid w:val="71F05BBD"/>
    <w:rsid w:val="72007005"/>
    <w:rsid w:val="724762BC"/>
    <w:rsid w:val="72735280"/>
    <w:rsid w:val="72C21043"/>
    <w:rsid w:val="72C90E76"/>
    <w:rsid w:val="72EA59C1"/>
    <w:rsid w:val="731B4367"/>
    <w:rsid w:val="734429FD"/>
    <w:rsid w:val="73834F73"/>
    <w:rsid w:val="739F7EA9"/>
    <w:rsid w:val="73BD077A"/>
    <w:rsid w:val="73CD11DB"/>
    <w:rsid w:val="73CF7575"/>
    <w:rsid w:val="73EB0593"/>
    <w:rsid w:val="74055F51"/>
    <w:rsid w:val="74290D3D"/>
    <w:rsid w:val="742C2A51"/>
    <w:rsid w:val="74575322"/>
    <w:rsid w:val="749C6118"/>
    <w:rsid w:val="749D642B"/>
    <w:rsid w:val="755C5EC9"/>
    <w:rsid w:val="75985A6A"/>
    <w:rsid w:val="75ED75FD"/>
    <w:rsid w:val="76720F2E"/>
    <w:rsid w:val="76897580"/>
    <w:rsid w:val="768F3403"/>
    <w:rsid w:val="76A1172E"/>
    <w:rsid w:val="76FC6659"/>
    <w:rsid w:val="770928BF"/>
    <w:rsid w:val="773B0BC9"/>
    <w:rsid w:val="77663446"/>
    <w:rsid w:val="77AF38AC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373C34"/>
    <w:rsid w:val="78997063"/>
    <w:rsid w:val="78CB0FE9"/>
    <w:rsid w:val="78D35419"/>
    <w:rsid w:val="78D536E4"/>
    <w:rsid w:val="78FC5570"/>
    <w:rsid w:val="79194F11"/>
    <w:rsid w:val="79411F9C"/>
    <w:rsid w:val="79480E27"/>
    <w:rsid w:val="794A359F"/>
    <w:rsid w:val="7961382F"/>
    <w:rsid w:val="79652FD1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CF0117"/>
    <w:rsid w:val="7B0F05BB"/>
    <w:rsid w:val="7B162058"/>
    <w:rsid w:val="7BB2099B"/>
    <w:rsid w:val="7BB7239F"/>
    <w:rsid w:val="7BD023F4"/>
    <w:rsid w:val="7BE5287D"/>
    <w:rsid w:val="7BE57B4A"/>
    <w:rsid w:val="7C212160"/>
    <w:rsid w:val="7C323803"/>
    <w:rsid w:val="7C424B1D"/>
    <w:rsid w:val="7C57613A"/>
    <w:rsid w:val="7C727E63"/>
    <w:rsid w:val="7C747BBB"/>
    <w:rsid w:val="7C7B16E2"/>
    <w:rsid w:val="7CAE0CBE"/>
    <w:rsid w:val="7CC15F2C"/>
    <w:rsid w:val="7CF4357A"/>
    <w:rsid w:val="7D2146E8"/>
    <w:rsid w:val="7D3C6B6E"/>
    <w:rsid w:val="7DAC3561"/>
    <w:rsid w:val="7DB65FA7"/>
    <w:rsid w:val="7E3311B0"/>
    <w:rsid w:val="7E467CC3"/>
    <w:rsid w:val="7E4B158C"/>
    <w:rsid w:val="7E5A60FC"/>
    <w:rsid w:val="7EA07207"/>
    <w:rsid w:val="7EF1669B"/>
    <w:rsid w:val="7F1B483F"/>
    <w:rsid w:val="7FA77A18"/>
    <w:rsid w:val="7FA912C2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'2022年'!$B$4:$B$33</c:f>
              <c:numCache>
                <c:formatCode>General</c:formatCode>
                <c:ptCount val="30"/>
                <c:pt idx="0">
                  <c:v>7</c:v>
                </c:pt>
                <c:pt idx="1">
                  <c:v>10</c:v>
                </c:pt>
                <c:pt idx="2">
                  <c:v>14</c:v>
                </c:pt>
                <c:pt idx="3">
                  <c:v>10</c:v>
                </c:pt>
                <c:pt idx="4">
                  <c:v>11</c:v>
                </c:pt>
                <c:pt idx="5">
                  <c:v>14</c:v>
                </c:pt>
                <c:pt idx="6">
                  <c:v>15</c:v>
                </c:pt>
                <c:pt idx="7">
                  <c:v>16</c:v>
                </c:pt>
                <c:pt idx="8">
                  <c:v>13</c:v>
                </c:pt>
                <c:pt idx="9">
                  <c:v>11</c:v>
                </c:pt>
                <c:pt idx="10">
                  <c:v>15</c:v>
                </c:pt>
                <c:pt idx="11">
                  <c:v>14</c:v>
                </c:pt>
                <c:pt idx="12">
                  <c:v>13</c:v>
                </c:pt>
                <c:pt idx="13">
                  <c:v>9</c:v>
                </c:pt>
                <c:pt idx="14">
                  <c:v>11</c:v>
                </c:pt>
                <c:pt idx="15">
                  <c:v>10</c:v>
                </c:pt>
                <c:pt idx="16">
                  <c:v>10</c:v>
                </c:pt>
                <c:pt idx="17">
                  <c:v>9</c:v>
                </c:pt>
                <c:pt idx="18">
                  <c:v>7</c:v>
                </c:pt>
                <c:pt idx="19">
                  <c:v>4</c:v>
                </c:pt>
                <c:pt idx="20">
                  <c:v>4</c:v>
                </c:pt>
                <c:pt idx="21">
                  <c:v>4</c:v>
                </c:pt>
                <c:pt idx="22">
                  <c:v>7</c:v>
                </c:pt>
                <c:pt idx="23">
                  <c:v>7</c:v>
                </c:pt>
                <c:pt idx="24">
                  <c:v>5</c:v>
                </c:pt>
                <c:pt idx="25">
                  <c:v>5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'2022年'!$C$4:$C$33</c:f>
              <c:numCache>
                <c:formatCode>General</c:formatCode>
                <c:ptCount val="30"/>
                <c:pt idx="0">
                  <c:v>5</c:v>
                </c:pt>
                <c:pt idx="1">
                  <c:v>12</c:v>
                </c:pt>
                <c:pt idx="2">
                  <c:v>24</c:v>
                </c:pt>
                <c:pt idx="3">
                  <c:v>12</c:v>
                </c:pt>
                <c:pt idx="4">
                  <c:v>16</c:v>
                </c:pt>
                <c:pt idx="5">
                  <c:v>26</c:v>
                </c:pt>
                <c:pt idx="6">
                  <c:v>36</c:v>
                </c:pt>
                <c:pt idx="7">
                  <c:v>29</c:v>
                </c:pt>
                <c:pt idx="8">
                  <c:v>31</c:v>
                </c:pt>
                <c:pt idx="9">
                  <c:v>25</c:v>
                </c:pt>
                <c:pt idx="10">
                  <c:v>23</c:v>
                </c:pt>
                <c:pt idx="11">
                  <c:v>22</c:v>
                </c:pt>
                <c:pt idx="12">
                  <c:v>23</c:v>
                </c:pt>
                <c:pt idx="13">
                  <c:v>24</c:v>
                </c:pt>
                <c:pt idx="14">
                  <c:v>11</c:v>
                </c:pt>
                <c:pt idx="15">
                  <c:v>11</c:v>
                </c:pt>
                <c:pt idx="16">
                  <c:v>13</c:v>
                </c:pt>
                <c:pt idx="17">
                  <c:v>10</c:v>
                </c:pt>
                <c:pt idx="18">
                  <c:v>18</c:v>
                </c:pt>
                <c:pt idx="19">
                  <c:v>9</c:v>
                </c:pt>
                <c:pt idx="20">
                  <c:v>7</c:v>
                </c:pt>
                <c:pt idx="21">
                  <c:v>7</c:v>
                </c:pt>
                <c:pt idx="22">
                  <c:v>12</c:v>
                </c:pt>
                <c:pt idx="23">
                  <c:v>21</c:v>
                </c:pt>
                <c:pt idx="24">
                  <c:v>25</c:v>
                </c:pt>
                <c:pt idx="25">
                  <c:v>13</c:v>
                </c:pt>
                <c:pt idx="26">
                  <c:v>29</c:v>
                </c:pt>
                <c:pt idx="27">
                  <c:v>30</c:v>
                </c:pt>
                <c:pt idx="28">
                  <c:v>34</c:v>
                </c:pt>
                <c:pt idx="29">
                  <c:v>30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'2022年'!$D$4:$D$33</c:f>
              <c:numCache>
                <c:formatCode>General</c:formatCode>
                <c:ptCount val="30"/>
                <c:pt idx="0">
                  <c:v>14</c:v>
                </c:pt>
                <c:pt idx="1">
                  <c:v>19</c:v>
                </c:pt>
                <c:pt idx="2">
                  <c:v>36</c:v>
                </c:pt>
                <c:pt idx="3">
                  <c:v>32</c:v>
                </c:pt>
                <c:pt idx="4">
                  <c:v>37</c:v>
                </c:pt>
                <c:pt idx="5">
                  <c:v>52</c:v>
                </c:pt>
                <c:pt idx="6">
                  <c:v>53</c:v>
                </c:pt>
                <c:pt idx="7">
                  <c:v>51</c:v>
                </c:pt>
                <c:pt idx="8">
                  <c:v>50</c:v>
                </c:pt>
                <c:pt idx="9">
                  <c:v>53</c:v>
                </c:pt>
                <c:pt idx="10">
                  <c:v>47</c:v>
                </c:pt>
                <c:pt idx="11">
                  <c:v>40</c:v>
                </c:pt>
                <c:pt idx="12">
                  <c:v>35</c:v>
                </c:pt>
                <c:pt idx="13">
                  <c:v>40</c:v>
                </c:pt>
                <c:pt idx="14">
                  <c:v>49</c:v>
                </c:pt>
                <c:pt idx="15">
                  <c:v>20</c:v>
                </c:pt>
                <c:pt idx="16">
                  <c:v>26</c:v>
                </c:pt>
                <c:pt idx="17">
                  <c:v>22</c:v>
                </c:pt>
                <c:pt idx="18">
                  <c:v>24</c:v>
                </c:pt>
                <c:pt idx="19">
                  <c:v>14</c:v>
                </c:pt>
                <c:pt idx="20">
                  <c:v>12</c:v>
                </c:pt>
                <c:pt idx="21">
                  <c:v>19</c:v>
                </c:pt>
                <c:pt idx="22">
                  <c:v>26</c:v>
                </c:pt>
                <c:pt idx="23">
                  <c:v>38</c:v>
                </c:pt>
                <c:pt idx="24">
                  <c:v>20</c:v>
                </c:pt>
                <c:pt idx="25">
                  <c:v>18</c:v>
                </c:pt>
                <c:pt idx="26">
                  <c:v>37</c:v>
                </c:pt>
                <c:pt idx="27">
                  <c:v>42</c:v>
                </c:pt>
                <c:pt idx="28">
                  <c:v>55</c:v>
                </c:pt>
                <c:pt idx="29">
                  <c:v>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0e96ef-a454-47c2-8b39-cb13cca050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74964200203916"/>
          <c:y val="0.028503893214683"/>
          <c:w val="0.94608149751979"/>
          <c:h val="0.767436040044494"/>
        </c:manualLayout>
      </c:layout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'2022年'!$E$4:$E$33</c:f>
              <c:numCache>
                <c:formatCode>General</c:formatCode>
                <c:ptCount val="30"/>
                <c:pt idx="0">
                  <c:v>0.7</c:v>
                </c:pt>
                <c:pt idx="1">
                  <c:v>0.7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0.7</c:v>
                </c:pt>
                <c:pt idx="6">
                  <c:v>0.6</c:v>
                </c:pt>
                <c:pt idx="7">
                  <c:v>0.5</c:v>
                </c:pt>
                <c:pt idx="8">
                  <c:v>0.6</c:v>
                </c:pt>
                <c:pt idx="9">
                  <c:v>0.6</c:v>
                </c:pt>
                <c:pt idx="10">
                  <c:v>0.6</c:v>
                </c:pt>
                <c:pt idx="11">
                  <c:v>0.6</c:v>
                </c:pt>
                <c:pt idx="12">
                  <c:v>0.6</c:v>
                </c:pt>
                <c:pt idx="13">
                  <c:v>0.7</c:v>
                </c:pt>
                <c:pt idx="14">
                  <c:v>0.7</c:v>
                </c:pt>
                <c:pt idx="15">
                  <c:v>0.6</c:v>
                </c:pt>
                <c:pt idx="16">
                  <c:v>0.7</c:v>
                </c:pt>
                <c:pt idx="17">
                  <c:v>0.7</c:v>
                </c:pt>
                <c:pt idx="18">
                  <c:v>0.6</c:v>
                </c:pt>
                <c:pt idx="19">
                  <c:v>0.4</c:v>
                </c:pt>
                <c:pt idx="20">
                  <c:v>0.5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0.6</c:v>
                </c:pt>
                <c:pt idx="25">
                  <c:v>0.5</c:v>
                </c:pt>
                <c:pt idx="26">
                  <c:v>0.4</c:v>
                </c:pt>
                <c:pt idx="27">
                  <c:v>0.4</c:v>
                </c:pt>
                <c:pt idx="28">
                  <c:v>0.4</c:v>
                </c:pt>
                <c:pt idx="29">
                  <c:v>0.4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'2022年'!$F$4:$F$33</c:f>
              <c:numCache>
                <c:formatCode>General</c:formatCode>
                <c:ptCount val="30"/>
                <c:pt idx="0">
                  <c:v>9</c:v>
                </c:pt>
                <c:pt idx="1">
                  <c:v>10</c:v>
                </c:pt>
                <c:pt idx="2">
                  <c:v>20</c:v>
                </c:pt>
                <c:pt idx="3">
                  <c:v>21</c:v>
                </c:pt>
                <c:pt idx="4">
                  <c:v>25</c:v>
                </c:pt>
                <c:pt idx="5">
                  <c:v>31</c:v>
                </c:pt>
                <c:pt idx="6">
                  <c:v>20</c:v>
                </c:pt>
                <c:pt idx="7">
                  <c:v>21</c:v>
                </c:pt>
                <c:pt idx="8">
                  <c:v>22</c:v>
                </c:pt>
                <c:pt idx="9">
                  <c:v>31</c:v>
                </c:pt>
                <c:pt idx="10">
                  <c:v>24</c:v>
                </c:pt>
                <c:pt idx="11">
                  <c:v>19</c:v>
                </c:pt>
                <c:pt idx="12">
                  <c:v>17</c:v>
                </c:pt>
                <c:pt idx="13">
                  <c:v>17</c:v>
                </c:pt>
                <c:pt idx="14">
                  <c:v>18</c:v>
                </c:pt>
                <c:pt idx="15">
                  <c:v>8</c:v>
                </c:pt>
                <c:pt idx="16">
                  <c:v>13</c:v>
                </c:pt>
                <c:pt idx="17">
                  <c:v>12</c:v>
                </c:pt>
                <c:pt idx="18">
                  <c:v>10</c:v>
                </c:pt>
                <c:pt idx="19">
                  <c:v>9</c:v>
                </c:pt>
                <c:pt idx="20">
                  <c:v>9</c:v>
                </c:pt>
                <c:pt idx="21">
                  <c:v>13</c:v>
                </c:pt>
                <c:pt idx="22">
                  <c:v>15</c:v>
                </c:pt>
                <c:pt idx="23">
                  <c:v>20</c:v>
                </c:pt>
                <c:pt idx="24">
                  <c:v>13</c:v>
                </c:pt>
                <c:pt idx="25">
                  <c:v>6</c:v>
                </c:pt>
                <c:pt idx="26">
                  <c:v>13</c:v>
                </c:pt>
                <c:pt idx="27">
                  <c:v>15</c:v>
                </c:pt>
                <c:pt idx="28">
                  <c:v>19</c:v>
                </c:pt>
                <c:pt idx="29">
                  <c:v>22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45597</c:v>
                </c:pt>
                <c:pt idx="1" c:formatCode="yyyy/m/d">
                  <c:v>45598</c:v>
                </c:pt>
                <c:pt idx="2" c:formatCode="yyyy/m/d">
                  <c:v>45599</c:v>
                </c:pt>
                <c:pt idx="3" c:formatCode="yyyy/m/d">
                  <c:v>45600</c:v>
                </c:pt>
                <c:pt idx="4" c:formatCode="yyyy/m/d">
                  <c:v>45601</c:v>
                </c:pt>
                <c:pt idx="5" c:formatCode="yyyy/m/d">
                  <c:v>45602</c:v>
                </c:pt>
                <c:pt idx="6" c:formatCode="yyyy/m/d">
                  <c:v>45603</c:v>
                </c:pt>
                <c:pt idx="7" c:formatCode="yyyy/m/d">
                  <c:v>45604</c:v>
                </c:pt>
                <c:pt idx="8" c:formatCode="yyyy/m/d">
                  <c:v>45605</c:v>
                </c:pt>
                <c:pt idx="9" c:formatCode="yyyy/m/d">
                  <c:v>45606</c:v>
                </c:pt>
                <c:pt idx="10" c:formatCode="yyyy/m/d">
                  <c:v>45607</c:v>
                </c:pt>
                <c:pt idx="11" c:formatCode="yyyy/m/d">
                  <c:v>45608</c:v>
                </c:pt>
                <c:pt idx="12" c:formatCode="yyyy/m/d">
                  <c:v>45609</c:v>
                </c:pt>
                <c:pt idx="13" c:formatCode="yyyy/m/d">
                  <c:v>45610</c:v>
                </c:pt>
                <c:pt idx="14" c:formatCode="yyyy/m/d">
                  <c:v>45611</c:v>
                </c:pt>
                <c:pt idx="15" c:formatCode="yyyy/m/d">
                  <c:v>45612</c:v>
                </c:pt>
                <c:pt idx="16" c:formatCode="yyyy/m/d">
                  <c:v>45613</c:v>
                </c:pt>
                <c:pt idx="17" c:formatCode="yyyy/m/d">
                  <c:v>45614</c:v>
                </c:pt>
                <c:pt idx="18" c:formatCode="yyyy/m/d">
                  <c:v>45615</c:v>
                </c:pt>
                <c:pt idx="19" c:formatCode="yyyy/m/d">
                  <c:v>45616</c:v>
                </c:pt>
                <c:pt idx="20" c:formatCode="yyyy/m/d">
                  <c:v>45617</c:v>
                </c:pt>
                <c:pt idx="21" c:formatCode="yyyy/m/d">
                  <c:v>45618</c:v>
                </c:pt>
                <c:pt idx="22" c:formatCode="yyyy/m/d">
                  <c:v>45619</c:v>
                </c:pt>
                <c:pt idx="23" c:formatCode="yyyy/m/d">
                  <c:v>45620</c:v>
                </c:pt>
                <c:pt idx="24" c:formatCode="yyyy/m/d">
                  <c:v>45621</c:v>
                </c:pt>
                <c:pt idx="25" c:formatCode="yyyy/m/d">
                  <c:v>45622</c:v>
                </c:pt>
                <c:pt idx="26" c:formatCode="yyyy/m/d">
                  <c:v>45623</c:v>
                </c:pt>
                <c:pt idx="27" c:formatCode="yyyy/m/d">
                  <c:v>45624</c:v>
                </c:pt>
                <c:pt idx="28" c:formatCode="yyyy/m/d">
                  <c:v>45625</c:v>
                </c:pt>
                <c:pt idx="29" c:formatCode="yyyy/m/d">
                  <c:v>45626</c:v>
                </c:pt>
              </c:numCache>
            </c:numRef>
          </c:cat>
          <c:val>
            <c:numRef>
              <c:f>'2022年'!$G$4:$G$33</c:f>
              <c:numCache>
                <c:formatCode>General</c:formatCode>
                <c:ptCount val="30"/>
                <c:pt idx="0">
                  <c:v>80</c:v>
                </c:pt>
                <c:pt idx="1">
                  <c:v>82</c:v>
                </c:pt>
                <c:pt idx="2">
                  <c:v>92</c:v>
                </c:pt>
                <c:pt idx="3">
                  <c:v>91</c:v>
                </c:pt>
                <c:pt idx="4">
                  <c:v>75</c:v>
                </c:pt>
                <c:pt idx="5">
                  <c:v>109</c:v>
                </c:pt>
                <c:pt idx="6">
                  <c:v>112</c:v>
                </c:pt>
                <c:pt idx="7">
                  <c:v>100</c:v>
                </c:pt>
                <c:pt idx="8">
                  <c:v>82</c:v>
                </c:pt>
                <c:pt idx="9">
                  <c:v>72</c:v>
                </c:pt>
                <c:pt idx="10">
                  <c:v>72</c:v>
                </c:pt>
                <c:pt idx="11">
                  <c:v>78</c:v>
                </c:pt>
                <c:pt idx="12">
                  <c:v>50</c:v>
                </c:pt>
                <c:pt idx="13">
                  <c:v>45</c:v>
                </c:pt>
                <c:pt idx="14">
                  <c:v>40</c:v>
                </c:pt>
                <c:pt idx="15">
                  <c:v>18</c:v>
                </c:pt>
                <c:pt idx="16">
                  <c:v>53</c:v>
                </c:pt>
                <c:pt idx="17">
                  <c:v>46</c:v>
                </c:pt>
                <c:pt idx="18">
                  <c:v>27</c:v>
                </c:pt>
                <c:pt idx="19">
                  <c:v>29</c:v>
                </c:pt>
                <c:pt idx="20">
                  <c:v>36</c:v>
                </c:pt>
                <c:pt idx="21">
                  <c:v>45</c:v>
                </c:pt>
                <c:pt idx="22">
                  <c:v>62</c:v>
                </c:pt>
                <c:pt idx="23">
                  <c:v>51</c:v>
                </c:pt>
                <c:pt idx="24">
                  <c:v>36</c:v>
                </c:pt>
                <c:pt idx="25">
                  <c:v>73</c:v>
                </c:pt>
                <c:pt idx="26">
                  <c:v>76</c:v>
                </c:pt>
                <c:pt idx="27">
                  <c:v>89</c:v>
                </c:pt>
                <c:pt idx="28">
                  <c:v>86</c:v>
                </c:pt>
                <c:pt idx="29">
                  <c:v>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afb121-5d93-48c4-8caf-da077c4fe4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24</Pages>
  <Words>1100</Words>
  <Characters>1467</Characters>
  <Lines>64</Lines>
  <Paragraphs>18</Paragraphs>
  <TotalTime>45</TotalTime>
  <ScaleCrop>false</ScaleCrop>
  <LinksUpToDate>false</LinksUpToDate>
  <CharactersWithSpaces>1561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2024-12-09T02:10:00Z</cp:lastPrinted>
  <dcterms:modified xsi:type="dcterms:W3CDTF">2025-01-07T02:12:28Z</dcterms:modified>
  <dc:title>梅州市环境状况月报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EE246842717D498685D4AB900CA4CA9C_13</vt:lpwstr>
  </property>
  <property fmtid="{D5CDD505-2E9C-101B-9397-08002B2CF9AE}" pid="4" name="KSOTemplateDocerSaveRecord">
    <vt:lpwstr>eyJoZGlkIjoiZDUzNWE1MWRjMjlkODU5MzRjZDY0NTYwMzViOTZjZmYiLCJ1c2VySWQiOiIzNTYxMTEyODMifQ==</vt:lpwstr>
  </property>
</Properties>
</file>