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spacing w:line="560" w:lineRule="exact"/>
        <w:jc w:val="center"/>
        <w:rPr>
          <w:b/>
          <w:bCs/>
        </w:rPr>
      </w:pPr>
      <w:r>
        <w:rPr>
          <w:rFonts w:hint="eastAsia"/>
          <w:b/>
          <w:bCs/>
          <w:sz w:val="44"/>
          <w:szCs w:val="44"/>
        </w:rPr>
        <w:t>蕉岭县</w:t>
      </w:r>
      <w:r>
        <w:rPr>
          <w:rFonts w:hint="eastAsia"/>
          <w:b/>
          <w:bCs/>
          <w:sz w:val="44"/>
          <w:szCs w:val="44"/>
          <w:lang w:val="en-US" w:eastAsia="zh-CN"/>
        </w:rPr>
        <w:t>2023年城镇国有建设用地</w:t>
      </w:r>
      <w:r>
        <w:rPr>
          <w:rFonts w:hint="eastAsia"/>
          <w:b/>
          <w:bCs/>
          <w:sz w:val="44"/>
          <w:szCs w:val="44"/>
        </w:rPr>
        <w:t>标定地价</w:t>
      </w:r>
      <w:r>
        <w:rPr>
          <w:rFonts w:hint="eastAsia"/>
          <w:b/>
          <w:bCs/>
          <w:sz w:val="44"/>
          <w:szCs w:val="44"/>
          <w:lang w:eastAsia="zh-CN"/>
        </w:rPr>
        <w:t>更新项目</w:t>
      </w:r>
      <w:bookmarkStart w:id="0" w:name="_GoBack"/>
      <w:bookmarkEnd w:id="0"/>
      <w:r>
        <w:rPr>
          <w:rFonts w:hint="eastAsia"/>
          <w:b/>
          <w:bCs/>
          <w:sz w:val="44"/>
          <w:szCs w:val="44"/>
        </w:rPr>
        <w:t>基本内容</w:t>
      </w:r>
    </w:p>
    <w:p>
      <w:pPr>
        <w:spacing w:line="560" w:lineRule="exact"/>
      </w:pPr>
    </w:p>
    <w:p>
      <w:pPr>
        <w:numPr>
          <w:ilvl w:val="0"/>
          <w:numId w:val="1"/>
        </w:numPr>
        <w:spacing w:line="560" w:lineRule="exact"/>
        <w:ind w:firstLine="640"/>
      </w:pPr>
      <w:r>
        <w:rPr>
          <w:rFonts w:hint="eastAsia"/>
        </w:rPr>
        <w:t>本次公布的蕉岭县20</w:t>
      </w:r>
      <w:r>
        <w:t>23</w:t>
      </w:r>
      <w:r>
        <w:rPr>
          <w:rFonts w:hint="eastAsia"/>
        </w:rPr>
        <w:t>年城镇国有建设用地标定地价（以下简称标定地价）的公示范围为蕉岭县（蕉城镇及部分长潭镇）总体规划确定的规划建设区范围与广东梅州蕉华工业园区管理委员会（广东省蕉岭华侨农场）行政区范围内的由4</w:t>
      </w:r>
      <w:r>
        <w:t>6</w:t>
      </w:r>
      <w:r>
        <w:rPr>
          <w:rFonts w:hint="eastAsia"/>
        </w:rPr>
        <w:t>个标定区域连接构成的空间范围，公示范围土地面积为7.1</w:t>
      </w:r>
      <w:r>
        <w:t>6</w:t>
      </w:r>
      <w:r>
        <w:rPr>
          <w:rFonts w:hint="eastAsia"/>
        </w:rPr>
        <w:t>平方公里。</w:t>
      </w:r>
    </w:p>
    <w:p>
      <w:pPr>
        <w:pStyle w:val="12"/>
        <w:spacing w:after="156" w:afterLines="50" w:line="560" w:lineRule="exact"/>
        <w:ind w:firstLine="640"/>
      </w:pPr>
      <w:r>
        <w:rPr>
          <w:rFonts w:hint="eastAsia"/>
        </w:rPr>
        <w:t>二、本次标定地价体系主要用地类型分为商服用地、住宅用地、商住用地和工业用地共四种用途。</w:t>
      </w:r>
      <w:r>
        <w:t>涉及商服用途</w:t>
      </w:r>
      <w:r>
        <w:rPr>
          <w:rFonts w:hint="eastAsia"/>
        </w:rPr>
        <w:t>和商住用途</w:t>
      </w:r>
      <w:r>
        <w:t>的标准宗地价格类型包括首层楼面地价</w:t>
      </w:r>
      <w:r>
        <w:rPr>
          <w:rFonts w:hint="eastAsia"/>
        </w:rPr>
        <w:t>和</w:t>
      </w:r>
      <w:r>
        <w:t>平均楼面地价，涉及工业用途的标准宗地价格类型为地面地价，</w:t>
      </w:r>
      <w:r>
        <w:rPr>
          <w:rFonts w:hint="eastAsia"/>
        </w:rPr>
        <w:t>住宅</w:t>
      </w:r>
      <w:r>
        <w:t>用途的标准宗地价格类型包括平均楼面地价</w:t>
      </w:r>
      <w:r>
        <w:rPr>
          <w:rFonts w:hint="eastAsia"/>
        </w:rPr>
        <w:t>，价格单位为元/平方米，币种为人民币。各用途标定地价的内涵见下表：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912"/>
        <w:gridCol w:w="1062"/>
        <w:gridCol w:w="1675"/>
        <w:gridCol w:w="1368"/>
        <w:gridCol w:w="125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68" w:type="pct"/>
            <w:vAlign w:val="center"/>
          </w:tcPr>
          <w:p>
            <w:pPr>
              <w:widowControl/>
              <w:snapToGrid w:val="0"/>
              <w:jc w:val="center"/>
              <w:rPr>
                <w:b/>
                <w:bCs/>
                <w:color w:val="000000"/>
                <w:sz w:val="21"/>
                <w:szCs w:val="21"/>
              </w:rPr>
            </w:pPr>
            <w:r>
              <w:rPr>
                <w:b/>
                <w:bCs/>
                <w:color w:val="000000"/>
                <w:sz w:val="21"/>
                <w:szCs w:val="21"/>
              </w:rPr>
              <w:t>用地类型</w:t>
            </w:r>
          </w:p>
        </w:tc>
        <w:tc>
          <w:tcPr>
            <w:tcW w:w="535" w:type="pct"/>
            <w:shd w:val="clear" w:color="auto" w:fill="auto"/>
            <w:vAlign w:val="center"/>
          </w:tcPr>
          <w:p>
            <w:pPr>
              <w:widowControl/>
              <w:snapToGrid w:val="0"/>
              <w:jc w:val="center"/>
              <w:rPr>
                <w:b/>
                <w:bCs/>
                <w:color w:val="000000"/>
                <w:sz w:val="21"/>
                <w:szCs w:val="21"/>
              </w:rPr>
            </w:pPr>
            <w:r>
              <w:rPr>
                <w:b/>
                <w:bCs/>
                <w:color w:val="000000"/>
                <w:sz w:val="21"/>
                <w:szCs w:val="21"/>
              </w:rPr>
              <w:t>土地开发程度</w:t>
            </w:r>
          </w:p>
        </w:tc>
        <w:tc>
          <w:tcPr>
            <w:tcW w:w="623" w:type="pct"/>
            <w:shd w:val="clear" w:color="auto" w:fill="auto"/>
            <w:vAlign w:val="center"/>
          </w:tcPr>
          <w:p>
            <w:pPr>
              <w:widowControl/>
              <w:snapToGrid w:val="0"/>
              <w:jc w:val="center"/>
              <w:rPr>
                <w:b/>
                <w:bCs/>
                <w:color w:val="000000"/>
                <w:sz w:val="21"/>
                <w:szCs w:val="21"/>
              </w:rPr>
            </w:pPr>
            <w:r>
              <w:rPr>
                <w:b/>
                <w:bCs/>
                <w:color w:val="000000"/>
                <w:sz w:val="21"/>
                <w:szCs w:val="21"/>
              </w:rPr>
              <w:t>容积率</w:t>
            </w:r>
          </w:p>
        </w:tc>
        <w:tc>
          <w:tcPr>
            <w:tcW w:w="982" w:type="pct"/>
            <w:shd w:val="clear" w:color="auto" w:fill="auto"/>
            <w:vAlign w:val="center"/>
          </w:tcPr>
          <w:p>
            <w:pPr>
              <w:widowControl/>
              <w:snapToGrid w:val="0"/>
              <w:jc w:val="center"/>
              <w:rPr>
                <w:b/>
                <w:bCs/>
                <w:color w:val="000000"/>
                <w:sz w:val="21"/>
                <w:szCs w:val="21"/>
              </w:rPr>
            </w:pPr>
            <w:r>
              <w:rPr>
                <w:b/>
                <w:bCs/>
                <w:color w:val="000000"/>
                <w:sz w:val="21"/>
                <w:szCs w:val="21"/>
              </w:rPr>
              <w:t>价格类型</w:t>
            </w:r>
          </w:p>
        </w:tc>
        <w:tc>
          <w:tcPr>
            <w:tcW w:w="803" w:type="pct"/>
            <w:shd w:val="clear" w:color="auto" w:fill="auto"/>
            <w:vAlign w:val="center"/>
          </w:tcPr>
          <w:p>
            <w:pPr>
              <w:widowControl/>
              <w:snapToGrid w:val="0"/>
              <w:jc w:val="center"/>
              <w:rPr>
                <w:b/>
                <w:bCs/>
                <w:color w:val="000000"/>
                <w:sz w:val="21"/>
                <w:szCs w:val="21"/>
              </w:rPr>
            </w:pPr>
            <w:r>
              <w:rPr>
                <w:b/>
                <w:bCs/>
                <w:color w:val="000000"/>
                <w:sz w:val="21"/>
                <w:szCs w:val="21"/>
              </w:rPr>
              <w:t>权利特征</w:t>
            </w:r>
          </w:p>
        </w:tc>
        <w:tc>
          <w:tcPr>
            <w:tcW w:w="738" w:type="pct"/>
            <w:shd w:val="clear" w:color="auto" w:fill="auto"/>
            <w:vAlign w:val="center"/>
          </w:tcPr>
          <w:p>
            <w:pPr>
              <w:widowControl/>
              <w:snapToGrid w:val="0"/>
              <w:jc w:val="center"/>
              <w:rPr>
                <w:b/>
                <w:bCs/>
                <w:color w:val="000000"/>
                <w:sz w:val="21"/>
                <w:szCs w:val="21"/>
              </w:rPr>
            </w:pPr>
            <w:r>
              <w:rPr>
                <w:b/>
                <w:bCs/>
                <w:color w:val="000000"/>
                <w:sz w:val="21"/>
                <w:szCs w:val="21"/>
              </w:rPr>
              <w:t>使用年期</w:t>
            </w:r>
          </w:p>
        </w:tc>
        <w:tc>
          <w:tcPr>
            <w:tcW w:w="648" w:type="pct"/>
            <w:shd w:val="clear" w:color="auto" w:fill="auto"/>
            <w:vAlign w:val="center"/>
          </w:tcPr>
          <w:p>
            <w:pPr>
              <w:widowControl/>
              <w:snapToGrid w:val="0"/>
              <w:jc w:val="center"/>
              <w:rPr>
                <w:b/>
                <w:bCs/>
                <w:color w:val="000000"/>
                <w:sz w:val="21"/>
                <w:szCs w:val="21"/>
              </w:rPr>
            </w:pPr>
            <w:r>
              <w:rPr>
                <w:b/>
                <w:bCs/>
                <w:color w:val="000000"/>
                <w:sz w:val="21"/>
                <w:szCs w:val="21"/>
              </w:rPr>
              <w:t>估价期日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pct"/>
            <w:vAlign w:val="center"/>
          </w:tcPr>
          <w:p>
            <w:pPr>
              <w:widowControl/>
              <w:snapToGrid w:val="0"/>
              <w:jc w:val="center"/>
              <w:rPr>
                <w:color w:val="000000"/>
                <w:sz w:val="21"/>
                <w:szCs w:val="21"/>
              </w:rPr>
            </w:pPr>
            <w:r>
              <w:rPr>
                <w:color w:val="000000"/>
                <w:sz w:val="21"/>
                <w:szCs w:val="21"/>
              </w:rPr>
              <w:t>商服用地</w:t>
            </w:r>
          </w:p>
        </w:tc>
        <w:tc>
          <w:tcPr>
            <w:tcW w:w="535" w:type="pct"/>
            <w:vMerge w:val="restart"/>
            <w:shd w:val="clear" w:color="auto" w:fill="auto"/>
            <w:noWrap/>
            <w:vAlign w:val="center"/>
          </w:tcPr>
          <w:p>
            <w:pPr>
              <w:widowControl/>
              <w:snapToGrid w:val="0"/>
              <w:jc w:val="center"/>
              <w:rPr>
                <w:color w:val="000000"/>
                <w:sz w:val="21"/>
                <w:szCs w:val="21"/>
              </w:rPr>
            </w:pPr>
            <w:r>
              <w:rPr>
                <w:color w:val="000000"/>
                <w:sz w:val="21"/>
                <w:szCs w:val="21"/>
              </w:rPr>
              <w:t>现状土地开发程度</w:t>
            </w:r>
          </w:p>
        </w:tc>
        <w:tc>
          <w:tcPr>
            <w:tcW w:w="623" w:type="pct"/>
            <w:shd w:val="clear" w:color="auto" w:fill="auto"/>
            <w:noWrap/>
            <w:vAlign w:val="center"/>
          </w:tcPr>
          <w:p>
            <w:pPr>
              <w:widowControl/>
              <w:snapToGrid w:val="0"/>
              <w:jc w:val="center"/>
              <w:rPr>
                <w:color w:val="000000"/>
                <w:sz w:val="21"/>
                <w:szCs w:val="21"/>
              </w:rPr>
            </w:pPr>
            <w:r>
              <w:rPr>
                <w:color w:val="000000"/>
                <w:sz w:val="21"/>
                <w:szCs w:val="21"/>
              </w:rPr>
              <w:t>2.50</w:t>
            </w:r>
          </w:p>
        </w:tc>
        <w:tc>
          <w:tcPr>
            <w:tcW w:w="982" w:type="pct"/>
            <w:shd w:val="clear" w:color="auto" w:fill="auto"/>
            <w:vAlign w:val="center"/>
          </w:tcPr>
          <w:p>
            <w:pPr>
              <w:widowControl/>
              <w:snapToGrid w:val="0"/>
              <w:jc w:val="center"/>
              <w:rPr>
                <w:color w:val="000000"/>
                <w:sz w:val="21"/>
                <w:szCs w:val="21"/>
              </w:rPr>
            </w:pPr>
            <w:r>
              <w:rPr>
                <w:color w:val="000000"/>
                <w:sz w:val="21"/>
                <w:szCs w:val="21"/>
              </w:rPr>
              <w:t>首层楼面地价/平均楼面地价</w:t>
            </w:r>
          </w:p>
        </w:tc>
        <w:tc>
          <w:tcPr>
            <w:tcW w:w="803" w:type="pct"/>
            <w:vMerge w:val="restart"/>
            <w:shd w:val="clear" w:color="auto" w:fill="auto"/>
            <w:vAlign w:val="center"/>
          </w:tcPr>
          <w:p>
            <w:pPr>
              <w:widowControl/>
              <w:snapToGrid w:val="0"/>
              <w:jc w:val="center"/>
              <w:rPr>
                <w:color w:val="000000"/>
                <w:sz w:val="21"/>
                <w:szCs w:val="21"/>
              </w:rPr>
            </w:pPr>
            <w:r>
              <w:rPr>
                <w:color w:val="000000"/>
                <w:sz w:val="21"/>
                <w:szCs w:val="21"/>
              </w:rPr>
              <w:t>具有相对完整的国有出让土地权利，不考虑抵押权、地役权等他项权利的限制</w:t>
            </w:r>
          </w:p>
        </w:tc>
        <w:tc>
          <w:tcPr>
            <w:tcW w:w="738" w:type="pct"/>
            <w:shd w:val="clear" w:color="auto" w:fill="auto"/>
            <w:vAlign w:val="center"/>
          </w:tcPr>
          <w:p>
            <w:pPr>
              <w:widowControl/>
              <w:snapToGrid w:val="0"/>
              <w:jc w:val="center"/>
              <w:rPr>
                <w:color w:val="000000"/>
                <w:sz w:val="21"/>
                <w:szCs w:val="21"/>
              </w:rPr>
            </w:pPr>
            <w:r>
              <w:rPr>
                <w:color w:val="000000"/>
                <w:sz w:val="21"/>
                <w:szCs w:val="21"/>
              </w:rPr>
              <w:t>40年</w:t>
            </w:r>
          </w:p>
        </w:tc>
        <w:tc>
          <w:tcPr>
            <w:tcW w:w="648" w:type="pct"/>
            <w:vMerge w:val="restart"/>
            <w:shd w:val="clear" w:color="auto" w:fill="auto"/>
            <w:vAlign w:val="center"/>
          </w:tcPr>
          <w:p>
            <w:pPr>
              <w:widowControl/>
              <w:snapToGrid w:val="0"/>
              <w:jc w:val="center"/>
              <w:rPr>
                <w:color w:val="000000"/>
                <w:sz w:val="21"/>
                <w:szCs w:val="21"/>
              </w:rPr>
            </w:pPr>
            <w:r>
              <w:rPr>
                <w:color w:val="000000"/>
                <w:sz w:val="21"/>
                <w:szCs w:val="21"/>
              </w:rPr>
              <w:t>2023年</w:t>
            </w:r>
          </w:p>
          <w:p>
            <w:pPr>
              <w:widowControl/>
              <w:snapToGrid w:val="0"/>
              <w:jc w:val="center"/>
              <w:rPr>
                <w:color w:val="000000"/>
                <w:sz w:val="21"/>
                <w:szCs w:val="21"/>
              </w:rPr>
            </w:pPr>
            <w:r>
              <w:rPr>
                <w:color w:val="000000"/>
                <w:sz w:val="21"/>
                <w:szCs w:val="21"/>
              </w:rPr>
              <w:t>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8" w:type="pct"/>
            <w:vAlign w:val="center"/>
          </w:tcPr>
          <w:p>
            <w:pPr>
              <w:widowControl/>
              <w:snapToGrid w:val="0"/>
              <w:jc w:val="center"/>
              <w:rPr>
                <w:color w:val="000000"/>
                <w:sz w:val="21"/>
                <w:szCs w:val="21"/>
              </w:rPr>
            </w:pPr>
            <w:r>
              <w:rPr>
                <w:color w:val="000000"/>
                <w:sz w:val="21"/>
                <w:szCs w:val="21"/>
              </w:rPr>
              <w:t>住宅用地</w:t>
            </w:r>
          </w:p>
        </w:tc>
        <w:tc>
          <w:tcPr>
            <w:tcW w:w="535" w:type="pct"/>
            <w:vMerge w:val="continue"/>
            <w:shd w:val="clear" w:color="auto" w:fill="auto"/>
            <w:vAlign w:val="center"/>
          </w:tcPr>
          <w:p>
            <w:pPr>
              <w:widowControl/>
              <w:snapToGrid w:val="0"/>
              <w:jc w:val="center"/>
              <w:rPr>
                <w:color w:val="000000"/>
                <w:sz w:val="21"/>
                <w:szCs w:val="21"/>
              </w:rPr>
            </w:pPr>
          </w:p>
        </w:tc>
        <w:tc>
          <w:tcPr>
            <w:tcW w:w="623" w:type="pct"/>
            <w:shd w:val="clear" w:color="auto" w:fill="auto"/>
            <w:vAlign w:val="center"/>
          </w:tcPr>
          <w:p>
            <w:pPr>
              <w:widowControl/>
              <w:snapToGrid w:val="0"/>
              <w:jc w:val="center"/>
              <w:rPr>
                <w:color w:val="000000"/>
                <w:sz w:val="21"/>
                <w:szCs w:val="21"/>
              </w:rPr>
            </w:pPr>
            <w:r>
              <w:rPr>
                <w:color w:val="000000"/>
                <w:sz w:val="21"/>
                <w:szCs w:val="21"/>
              </w:rPr>
              <w:t>0.59-6.30</w:t>
            </w:r>
          </w:p>
        </w:tc>
        <w:tc>
          <w:tcPr>
            <w:tcW w:w="982" w:type="pct"/>
            <w:shd w:val="clear" w:color="auto" w:fill="auto"/>
            <w:vAlign w:val="center"/>
          </w:tcPr>
          <w:p>
            <w:pPr>
              <w:widowControl/>
              <w:snapToGrid w:val="0"/>
              <w:jc w:val="center"/>
              <w:rPr>
                <w:color w:val="000000"/>
                <w:sz w:val="21"/>
                <w:szCs w:val="21"/>
              </w:rPr>
            </w:pPr>
            <w:r>
              <w:rPr>
                <w:color w:val="000000"/>
                <w:sz w:val="21"/>
                <w:szCs w:val="21"/>
              </w:rPr>
              <w:t>平均楼面地价</w:t>
            </w:r>
          </w:p>
        </w:tc>
        <w:tc>
          <w:tcPr>
            <w:tcW w:w="803" w:type="pct"/>
            <w:vMerge w:val="continue"/>
            <w:shd w:val="clear" w:color="auto" w:fill="auto"/>
          </w:tcPr>
          <w:p>
            <w:pPr>
              <w:widowControl/>
              <w:snapToGrid w:val="0"/>
              <w:jc w:val="center"/>
              <w:rPr>
                <w:color w:val="000000"/>
                <w:sz w:val="21"/>
                <w:szCs w:val="21"/>
              </w:rPr>
            </w:pPr>
          </w:p>
        </w:tc>
        <w:tc>
          <w:tcPr>
            <w:tcW w:w="738" w:type="pct"/>
            <w:shd w:val="clear" w:color="auto" w:fill="auto"/>
            <w:vAlign w:val="center"/>
          </w:tcPr>
          <w:p>
            <w:pPr>
              <w:widowControl/>
              <w:snapToGrid w:val="0"/>
              <w:jc w:val="center"/>
              <w:rPr>
                <w:color w:val="000000"/>
                <w:sz w:val="21"/>
                <w:szCs w:val="21"/>
              </w:rPr>
            </w:pPr>
            <w:r>
              <w:rPr>
                <w:color w:val="000000"/>
                <w:sz w:val="21"/>
                <w:szCs w:val="21"/>
              </w:rPr>
              <w:t>70年</w:t>
            </w:r>
          </w:p>
        </w:tc>
        <w:tc>
          <w:tcPr>
            <w:tcW w:w="648" w:type="pct"/>
            <w:vMerge w:val="continue"/>
            <w:shd w:val="clear" w:color="auto" w:fill="auto"/>
          </w:tcPr>
          <w:p>
            <w:pPr>
              <w:widowControl/>
              <w:snapToGrid w:val="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8" w:type="pct"/>
            <w:vAlign w:val="center"/>
          </w:tcPr>
          <w:p>
            <w:pPr>
              <w:widowControl/>
              <w:snapToGrid w:val="0"/>
              <w:jc w:val="center"/>
              <w:rPr>
                <w:color w:val="000000"/>
                <w:sz w:val="21"/>
                <w:szCs w:val="21"/>
              </w:rPr>
            </w:pPr>
            <w:r>
              <w:rPr>
                <w:rFonts w:hint="eastAsia"/>
                <w:color w:val="000000"/>
                <w:sz w:val="21"/>
                <w:szCs w:val="21"/>
              </w:rPr>
              <w:t>商住</w:t>
            </w:r>
            <w:r>
              <w:rPr>
                <w:color w:val="000000"/>
                <w:sz w:val="21"/>
                <w:szCs w:val="21"/>
              </w:rPr>
              <w:t>用地</w:t>
            </w:r>
          </w:p>
        </w:tc>
        <w:tc>
          <w:tcPr>
            <w:tcW w:w="535" w:type="pct"/>
            <w:vMerge w:val="continue"/>
            <w:shd w:val="clear" w:color="auto" w:fill="auto"/>
            <w:vAlign w:val="center"/>
          </w:tcPr>
          <w:p>
            <w:pPr>
              <w:widowControl/>
              <w:snapToGrid w:val="0"/>
              <w:jc w:val="center"/>
              <w:rPr>
                <w:color w:val="000000"/>
                <w:sz w:val="21"/>
                <w:szCs w:val="21"/>
              </w:rPr>
            </w:pPr>
          </w:p>
        </w:tc>
        <w:tc>
          <w:tcPr>
            <w:tcW w:w="623" w:type="pct"/>
            <w:shd w:val="clear" w:color="auto" w:fill="auto"/>
            <w:vAlign w:val="center"/>
          </w:tcPr>
          <w:p>
            <w:pPr>
              <w:widowControl/>
              <w:snapToGrid w:val="0"/>
              <w:jc w:val="center"/>
              <w:rPr>
                <w:color w:val="000000"/>
                <w:sz w:val="21"/>
                <w:szCs w:val="21"/>
              </w:rPr>
            </w:pPr>
            <w:r>
              <w:rPr>
                <w:color w:val="000000"/>
                <w:sz w:val="21"/>
                <w:szCs w:val="21"/>
              </w:rPr>
              <w:t>1.12-9.73</w:t>
            </w:r>
          </w:p>
        </w:tc>
        <w:tc>
          <w:tcPr>
            <w:tcW w:w="982" w:type="pct"/>
            <w:shd w:val="clear" w:color="auto" w:fill="auto"/>
            <w:vAlign w:val="center"/>
          </w:tcPr>
          <w:p>
            <w:pPr>
              <w:widowControl/>
              <w:snapToGrid w:val="0"/>
              <w:jc w:val="center"/>
              <w:rPr>
                <w:color w:val="000000"/>
                <w:sz w:val="21"/>
                <w:szCs w:val="21"/>
              </w:rPr>
            </w:pPr>
            <w:r>
              <w:rPr>
                <w:color w:val="000000"/>
                <w:sz w:val="21"/>
                <w:szCs w:val="21"/>
              </w:rPr>
              <w:t>首层楼面地价/平均楼面地价</w:t>
            </w:r>
          </w:p>
        </w:tc>
        <w:tc>
          <w:tcPr>
            <w:tcW w:w="803" w:type="pct"/>
            <w:vMerge w:val="continue"/>
            <w:shd w:val="clear" w:color="auto" w:fill="auto"/>
          </w:tcPr>
          <w:p>
            <w:pPr>
              <w:widowControl/>
              <w:snapToGrid w:val="0"/>
              <w:jc w:val="center"/>
              <w:rPr>
                <w:color w:val="000000"/>
                <w:sz w:val="21"/>
                <w:szCs w:val="21"/>
              </w:rPr>
            </w:pPr>
          </w:p>
        </w:tc>
        <w:tc>
          <w:tcPr>
            <w:tcW w:w="738" w:type="pct"/>
            <w:shd w:val="clear" w:color="auto" w:fill="auto"/>
            <w:vAlign w:val="center"/>
          </w:tcPr>
          <w:p>
            <w:pPr>
              <w:widowControl/>
              <w:snapToGrid w:val="0"/>
              <w:jc w:val="center"/>
              <w:rPr>
                <w:color w:val="000000"/>
                <w:sz w:val="21"/>
                <w:szCs w:val="21"/>
              </w:rPr>
            </w:pPr>
            <w:r>
              <w:rPr>
                <w:color w:val="000000"/>
                <w:sz w:val="21"/>
                <w:szCs w:val="21"/>
              </w:rPr>
              <w:t>商服用地40年、住宅用地70年</w:t>
            </w:r>
          </w:p>
        </w:tc>
        <w:tc>
          <w:tcPr>
            <w:tcW w:w="648" w:type="pct"/>
            <w:vMerge w:val="continue"/>
            <w:shd w:val="clear" w:color="auto" w:fill="auto"/>
          </w:tcPr>
          <w:p>
            <w:pPr>
              <w:widowControl/>
              <w:snapToGrid w:val="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8" w:type="pct"/>
            <w:vAlign w:val="center"/>
          </w:tcPr>
          <w:p>
            <w:pPr>
              <w:widowControl/>
              <w:snapToGrid w:val="0"/>
              <w:jc w:val="center"/>
              <w:rPr>
                <w:color w:val="000000"/>
                <w:sz w:val="21"/>
                <w:szCs w:val="21"/>
              </w:rPr>
            </w:pPr>
            <w:r>
              <w:rPr>
                <w:color w:val="000000"/>
                <w:sz w:val="21"/>
                <w:szCs w:val="21"/>
              </w:rPr>
              <w:t>工业用地</w:t>
            </w:r>
          </w:p>
        </w:tc>
        <w:tc>
          <w:tcPr>
            <w:tcW w:w="535" w:type="pct"/>
            <w:vMerge w:val="continue"/>
            <w:shd w:val="clear" w:color="auto" w:fill="auto"/>
            <w:vAlign w:val="center"/>
          </w:tcPr>
          <w:p>
            <w:pPr>
              <w:widowControl/>
              <w:snapToGrid w:val="0"/>
              <w:jc w:val="center"/>
              <w:rPr>
                <w:color w:val="000000"/>
                <w:sz w:val="21"/>
                <w:szCs w:val="21"/>
              </w:rPr>
            </w:pPr>
          </w:p>
        </w:tc>
        <w:tc>
          <w:tcPr>
            <w:tcW w:w="623" w:type="pct"/>
            <w:shd w:val="clear" w:color="auto" w:fill="auto"/>
            <w:vAlign w:val="center"/>
          </w:tcPr>
          <w:p>
            <w:pPr>
              <w:widowControl/>
              <w:snapToGrid w:val="0"/>
              <w:jc w:val="center"/>
              <w:rPr>
                <w:color w:val="000000"/>
                <w:sz w:val="21"/>
                <w:szCs w:val="21"/>
              </w:rPr>
            </w:pPr>
            <w:r>
              <w:rPr>
                <w:color w:val="000000"/>
                <w:sz w:val="21"/>
                <w:szCs w:val="21"/>
              </w:rPr>
              <w:t>0.50-1.50</w:t>
            </w:r>
          </w:p>
        </w:tc>
        <w:tc>
          <w:tcPr>
            <w:tcW w:w="982" w:type="pct"/>
            <w:shd w:val="clear" w:color="auto" w:fill="auto"/>
            <w:vAlign w:val="center"/>
          </w:tcPr>
          <w:p>
            <w:pPr>
              <w:widowControl/>
              <w:snapToGrid w:val="0"/>
              <w:jc w:val="center"/>
              <w:rPr>
                <w:color w:val="000000"/>
                <w:sz w:val="21"/>
                <w:szCs w:val="21"/>
              </w:rPr>
            </w:pPr>
            <w:r>
              <w:rPr>
                <w:color w:val="000000"/>
                <w:sz w:val="21"/>
                <w:szCs w:val="21"/>
              </w:rPr>
              <w:t>地面地价</w:t>
            </w:r>
          </w:p>
        </w:tc>
        <w:tc>
          <w:tcPr>
            <w:tcW w:w="803" w:type="pct"/>
            <w:vMerge w:val="continue"/>
            <w:shd w:val="clear" w:color="auto" w:fill="auto"/>
          </w:tcPr>
          <w:p>
            <w:pPr>
              <w:widowControl/>
              <w:snapToGrid w:val="0"/>
              <w:jc w:val="center"/>
              <w:rPr>
                <w:color w:val="000000"/>
                <w:sz w:val="21"/>
                <w:szCs w:val="21"/>
              </w:rPr>
            </w:pPr>
          </w:p>
        </w:tc>
        <w:tc>
          <w:tcPr>
            <w:tcW w:w="738" w:type="pct"/>
            <w:shd w:val="clear" w:color="auto" w:fill="auto"/>
            <w:vAlign w:val="center"/>
          </w:tcPr>
          <w:p>
            <w:pPr>
              <w:widowControl/>
              <w:snapToGrid w:val="0"/>
              <w:jc w:val="center"/>
              <w:rPr>
                <w:color w:val="000000"/>
                <w:sz w:val="21"/>
                <w:szCs w:val="21"/>
              </w:rPr>
            </w:pPr>
            <w:r>
              <w:rPr>
                <w:color w:val="000000"/>
                <w:sz w:val="21"/>
                <w:szCs w:val="21"/>
              </w:rPr>
              <w:t>50年</w:t>
            </w:r>
          </w:p>
        </w:tc>
        <w:tc>
          <w:tcPr>
            <w:tcW w:w="648" w:type="pct"/>
            <w:vMerge w:val="continue"/>
            <w:shd w:val="clear" w:color="auto" w:fill="auto"/>
          </w:tcPr>
          <w:p>
            <w:pPr>
              <w:widowControl/>
              <w:snapToGrid w:val="0"/>
              <w:jc w:val="center"/>
              <w:rPr>
                <w:color w:val="000000"/>
                <w:sz w:val="21"/>
                <w:szCs w:val="21"/>
              </w:rPr>
            </w:pPr>
          </w:p>
        </w:tc>
      </w:tr>
    </w:tbl>
    <w:p>
      <w:pPr>
        <w:ind w:firstLine="420" w:firstLineChars="200"/>
        <w:rPr>
          <w:color w:val="000000"/>
          <w:sz w:val="21"/>
          <w:szCs w:val="21"/>
        </w:rPr>
      </w:pPr>
      <w:r>
        <w:rPr>
          <w:rFonts w:hint="eastAsia"/>
          <w:color w:val="000000"/>
          <w:sz w:val="21"/>
          <w:szCs w:val="21"/>
        </w:rPr>
        <w:t>备注：1.本次标定地价中商服用地仅有一宗标准宗地。</w:t>
      </w:r>
    </w:p>
    <w:p>
      <w:pPr>
        <w:ind w:firstLine="420" w:firstLineChars="200"/>
        <w:rPr>
          <w:color w:val="000000"/>
          <w:sz w:val="21"/>
          <w:szCs w:val="21"/>
        </w:rPr>
      </w:pPr>
      <w:r>
        <w:rPr>
          <w:rFonts w:hint="eastAsia"/>
          <w:color w:val="000000"/>
          <w:sz w:val="21"/>
          <w:szCs w:val="21"/>
        </w:rPr>
        <w:t>2.现状土地开发程度为“五通一平”或“六通一平”。其中，“五通一平”：宗地红线外通上水、通下水、通电、通路、通讯，宗地红线内场地平整；“六通一平”：宗地红线外通上水、通下水、通电、通路、通讯、通气，宗地红线内场地平整。</w:t>
      </w:r>
    </w:p>
    <w:p>
      <w:pPr>
        <w:ind w:firstLine="420" w:firstLineChars="200"/>
        <w:rPr>
          <w:rFonts w:ascii="仿宋_GB2312"/>
          <w:color w:val="000000"/>
          <w:sz w:val="21"/>
          <w:szCs w:val="21"/>
        </w:rPr>
      </w:pPr>
      <w:r>
        <w:rPr>
          <w:rFonts w:hint="eastAsia"/>
          <w:color w:val="000000"/>
          <w:sz w:val="21"/>
          <w:szCs w:val="21"/>
        </w:rPr>
        <w:t>3.容积率为该用途各标准宗地的现状/规划容积率范围值。</w:t>
      </w:r>
    </w:p>
    <w:p>
      <w:pPr>
        <w:pStyle w:val="12"/>
        <w:spacing w:line="500" w:lineRule="exact"/>
        <w:ind w:firstLine="640"/>
        <w:jc w:val="left"/>
      </w:pPr>
      <w:r>
        <w:rPr>
          <w:rFonts w:hint="eastAsia"/>
        </w:rPr>
        <w:t>三、本次标定地价的估价期日为20</w:t>
      </w:r>
      <w:r>
        <w:t>23</w:t>
      </w:r>
      <w:r>
        <w:rPr>
          <w:rFonts w:hint="eastAsia"/>
        </w:rPr>
        <w:t>年1月1日。</w:t>
      </w:r>
    </w:p>
    <w:p>
      <w:pPr>
        <w:spacing w:after="156" w:afterLines="50" w:line="500" w:lineRule="exact"/>
        <w:ind w:firstLine="640" w:firstLineChars="200"/>
      </w:pPr>
      <w:r>
        <w:rPr>
          <w:rFonts w:hint="eastAsia"/>
        </w:rPr>
        <w:t>四、参考《国土空间调查、规划、用途管制用地用海分类指南（试行）》（自然资办发〔2020〕51号），进一步将标定地价的土地用途进行细分，具体用途分类如下表所示：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1920"/>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pct"/>
            <w:vAlign w:val="center"/>
          </w:tcPr>
          <w:p>
            <w:pPr>
              <w:pStyle w:val="2"/>
              <w:jc w:val="center"/>
              <w:rPr>
                <w:sz w:val="24"/>
                <w:szCs w:val="24"/>
              </w:rPr>
            </w:pPr>
            <w:r>
              <w:rPr>
                <w:b/>
                <w:bCs/>
                <w:color w:val="000000"/>
                <w:sz w:val="24"/>
                <w:szCs w:val="24"/>
              </w:rPr>
              <w:t>标定地价评估用途</w:t>
            </w:r>
          </w:p>
        </w:tc>
        <w:tc>
          <w:tcPr>
            <w:tcW w:w="1126" w:type="pct"/>
            <w:vAlign w:val="center"/>
          </w:tcPr>
          <w:p>
            <w:pPr>
              <w:pStyle w:val="2"/>
              <w:jc w:val="center"/>
              <w:rPr>
                <w:sz w:val="24"/>
                <w:szCs w:val="24"/>
              </w:rPr>
            </w:pPr>
            <w:r>
              <w:rPr>
                <w:b/>
                <w:bCs/>
                <w:color w:val="000000"/>
                <w:sz w:val="24"/>
                <w:szCs w:val="24"/>
              </w:rPr>
              <w:t>一级类</w:t>
            </w:r>
          </w:p>
        </w:tc>
        <w:tc>
          <w:tcPr>
            <w:tcW w:w="2316" w:type="pct"/>
            <w:vAlign w:val="center"/>
          </w:tcPr>
          <w:p>
            <w:pPr>
              <w:pStyle w:val="2"/>
              <w:jc w:val="center"/>
              <w:rPr>
                <w:sz w:val="24"/>
                <w:szCs w:val="24"/>
              </w:rPr>
            </w:pPr>
            <w:r>
              <w:rPr>
                <w:rFonts w:hint="eastAsia"/>
                <w:b/>
                <w:bCs/>
                <w:color w:val="000000"/>
                <w:sz w:val="24"/>
                <w:szCs w:val="24"/>
              </w:rPr>
              <w:t>细分用途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pct"/>
            <w:vAlign w:val="center"/>
          </w:tcPr>
          <w:p>
            <w:pPr>
              <w:pStyle w:val="2"/>
              <w:jc w:val="center"/>
              <w:rPr>
                <w:sz w:val="24"/>
                <w:szCs w:val="24"/>
              </w:rPr>
            </w:pPr>
            <w:r>
              <w:rPr>
                <w:color w:val="000000"/>
                <w:sz w:val="24"/>
                <w:szCs w:val="24"/>
              </w:rPr>
              <w:t>商服用地</w:t>
            </w:r>
          </w:p>
        </w:tc>
        <w:tc>
          <w:tcPr>
            <w:tcW w:w="1920" w:type="dxa"/>
            <w:vAlign w:val="center"/>
          </w:tcPr>
          <w:p>
            <w:pPr>
              <w:pStyle w:val="2"/>
              <w:jc w:val="center"/>
              <w:rPr>
                <w:color w:val="000000"/>
                <w:sz w:val="24"/>
                <w:szCs w:val="24"/>
              </w:rPr>
            </w:pPr>
            <w:r>
              <w:rPr>
                <w:rFonts w:hint="eastAsia"/>
                <w:color w:val="000000"/>
                <w:sz w:val="24"/>
                <w:szCs w:val="24"/>
              </w:rPr>
              <w:t>商业服务业用地</w:t>
            </w:r>
          </w:p>
        </w:tc>
        <w:tc>
          <w:tcPr>
            <w:tcW w:w="3949" w:type="dxa"/>
            <w:vAlign w:val="center"/>
          </w:tcPr>
          <w:p>
            <w:pPr>
              <w:pStyle w:val="2"/>
              <w:jc w:val="center"/>
              <w:rPr>
                <w:color w:val="000000"/>
                <w:sz w:val="24"/>
                <w:szCs w:val="24"/>
              </w:rPr>
            </w:pPr>
            <w:r>
              <w:rPr>
                <w:rFonts w:hint="eastAsia"/>
                <w:color w:val="000000"/>
                <w:sz w:val="24"/>
                <w:szCs w:val="24"/>
                <w:lang w:val="zh-CN"/>
              </w:rPr>
              <w:t>批发市场用地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6" w:type="pct"/>
            <w:vAlign w:val="center"/>
          </w:tcPr>
          <w:p>
            <w:pPr>
              <w:pStyle w:val="2"/>
              <w:jc w:val="center"/>
              <w:rPr>
                <w:color w:val="000000"/>
                <w:sz w:val="24"/>
                <w:szCs w:val="24"/>
              </w:rPr>
            </w:pPr>
            <w:r>
              <w:rPr>
                <w:color w:val="000000"/>
                <w:sz w:val="24"/>
                <w:szCs w:val="24"/>
              </w:rPr>
              <w:t>住宅用地</w:t>
            </w:r>
          </w:p>
        </w:tc>
        <w:tc>
          <w:tcPr>
            <w:tcW w:w="1920" w:type="dxa"/>
            <w:vAlign w:val="center"/>
          </w:tcPr>
          <w:p>
            <w:pPr>
              <w:pStyle w:val="2"/>
              <w:jc w:val="center"/>
              <w:rPr>
                <w:color w:val="000000"/>
                <w:sz w:val="24"/>
                <w:szCs w:val="24"/>
              </w:rPr>
            </w:pPr>
            <w:r>
              <w:rPr>
                <w:rFonts w:hint="eastAsia"/>
                <w:color w:val="000000"/>
                <w:sz w:val="24"/>
                <w:szCs w:val="24"/>
              </w:rPr>
              <w:t>居住用地</w:t>
            </w:r>
          </w:p>
        </w:tc>
        <w:tc>
          <w:tcPr>
            <w:tcW w:w="3949" w:type="dxa"/>
            <w:vAlign w:val="center"/>
          </w:tcPr>
          <w:p>
            <w:pPr>
              <w:pStyle w:val="2"/>
              <w:jc w:val="center"/>
              <w:rPr>
                <w:color w:val="000000"/>
                <w:sz w:val="24"/>
                <w:szCs w:val="24"/>
              </w:rPr>
            </w:pPr>
            <w:r>
              <w:rPr>
                <w:rFonts w:hint="eastAsia"/>
                <w:color w:val="000000"/>
                <w:sz w:val="24"/>
                <w:szCs w:val="24"/>
                <w:lang w:val="zh-CN"/>
              </w:rPr>
              <w:t>城镇住宅用地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6" w:type="pct"/>
            <w:vAlign w:val="center"/>
          </w:tcPr>
          <w:p>
            <w:pPr>
              <w:pStyle w:val="2"/>
              <w:jc w:val="center"/>
              <w:rPr>
                <w:sz w:val="24"/>
                <w:szCs w:val="24"/>
              </w:rPr>
            </w:pPr>
            <w:r>
              <w:rPr>
                <w:rFonts w:hint="eastAsia"/>
                <w:color w:val="000000"/>
                <w:sz w:val="24"/>
                <w:szCs w:val="24"/>
              </w:rPr>
              <w:t>商住</w:t>
            </w:r>
            <w:r>
              <w:rPr>
                <w:color w:val="000000"/>
                <w:sz w:val="24"/>
                <w:szCs w:val="24"/>
              </w:rPr>
              <w:t>用地</w:t>
            </w:r>
          </w:p>
        </w:tc>
        <w:tc>
          <w:tcPr>
            <w:tcW w:w="1920" w:type="dxa"/>
            <w:vAlign w:val="center"/>
          </w:tcPr>
          <w:p>
            <w:pPr>
              <w:pStyle w:val="2"/>
              <w:jc w:val="center"/>
              <w:rPr>
                <w:color w:val="000000"/>
                <w:sz w:val="24"/>
                <w:szCs w:val="24"/>
              </w:rPr>
            </w:pPr>
            <w:r>
              <w:rPr>
                <w:rFonts w:hint="eastAsia"/>
                <w:color w:val="000000"/>
                <w:sz w:val="24"/>
                <w:szCs w:val="24"/>
              </w:rPr>
              <w:t>商业服务业用地、居住用地</w:t>
            </w:r>
          </w:p>
        </w:tc>
        <w:tc>
          <w:tcPr>
            <w:tcW w:w="3949" w:type="dxa"/>
            <w:vAlign w:val="center"/>
          </w:tcPr>
          <w:p>
            <w:pPr>
              <w:pStyle w:val="2"/>
              <w:jc w:val="center"/>
              <w:rPr>
                <w:color w:val="000000"/>
                <w:sz w:val="24"/>
                <w:szCs w:val="24"/>
              </w:rPr>
            </w:pPr>
            <w:r>
              <w:rPr>
                <w:rFonts w:hint="eastAsia"/>
                <w:color w:val="000000"/>
                <w:sz w:val="24"/>
                <w:szCs w:val="24"/>
                <w:lang w:val="zh-CN"/>
              </w:rPr>
              <w:t>商业用地、其他商业服务业用地、城镇住宅用地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pct"/>
            <w:vAlign w:val="center"/>
          </w:tcPr>
          <w:p>
            <w:pPr>
              <w:pStyle w:val="2"/>
              <w:jc w:val="center"/>
              <w:rPr>
                <w:sz w:val="24"/>
                <w:szCs w:val="24"/>
              </w:rPr>
            </w:pPr>
            <w:r>
              <w:rPr>
                <w:color w:val="000000"/>
                <w:sz w:val="24"/>
                <w:szCs w:val="24"/>
              </w:rPr>
              <w:t>工业用地</w:t>
            </w:r>
          </w:p>
        </w:tc>
        <w:tc>
          <w:tcPr>
            <w:tcW w:w="1920" w:type="dxa"/>
            <w:vAlign w:val="center"/>
          </w:tcPr>
          <w:p>
            <w:pPr>
              <w:pStyle w:val="2"/>
              <w:jc w:val="center"/>
              <w:rPr>
                <w:color w:val="000000"/>
                <w:sz w:val="24"/>
                <w:szCs w:val="24"/>
              </w:rPr>
            </w:pPr>
            <w:r>
              <w:rPr>
                <w:rFonts w:hint="eastAsia"/>
                <w:color w:val="000000"/>
                <w:sz w:val="24"/>
                <w:szCs w:val="24"/>
              </w:rPr>
              <w:t>工矿用地</w:t>
            </w:r>
          </w:p>
        </w:tc>
        <w:tc>
          <w:tcPr>
            <w:tcW w:w="3949" w:type="dxa"/>
            <w:vAlign w:val="center"/>
          </w:tcPr>
          <w:p>
            <w:pPr>
              <w:pStyle w:val="2"/>
              <w:jc w:val="center"/>
              <w:rPr>
                <w:color w:val="000000"/>
                <w:sz w:val="24"/>
                <w:szCs w:val="24"/>
              </w:rPr>
            </w:pPr>
            <w:r>
              <w:rPr>
                <w:rFonts w:hint="eastAsia"/>
                <w:color w:val="000000"/>
                <w:sz w:val="24"/>
                <w:szCs w:val="24"/>
                <w:lang w:val="zh-CN"/>
              </w:rPr>
              <w:t>工业用地</w:t>
            </w:r>
          </w:p>
        </w:tc>
      </w:tr>
    </w:tbl>
    <w:p>
      <w:pPr>
        <w:spacing w:line="560" w:lineRule="exact"/>
        <w:ind w:firstLine="640" w:firstLineChars="200"/>
      </w:pPr>
      <w:r>
        <w:rPr>
          <w:rFonts w:hint="eastAsia"/>
        </w:rPr>
        <w:t>五、标定地价将标定区域、标准宗地和公示信息表予以公布。</w:t>
      </w:r>
    </w:p>
    <w:p>
      <w:pPr>
        <w:spacing w:line="560" w:lineRule="exact"/>
        <w:ind w:firstLine="643" w:firstLineChars="201"/>
      </w:pPr>
      <w:r>
        <w:rPr>
          <w:rFonts w:hint="eastAsia"/>
        </w:rPr>
        <w:t>六、蕉岭县自然资源局将根据土地市场的变化情况对标定地价进行更新修订，经县政府批准后，对外公布执行。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p>
    <w:pPr>
      <w:pStyle w:val="4"/>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06159"/>
    <w:multiLevelType w:val="singleLevel"/>
    <w:tmpl w:val="88F06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MGY2MTI0NDM2YWJjMmRjOGYzZTMzZmU0MGVjOTAifQ=="/>
  </w:docVars>
  <w:rsids>
    <w:rsidRoot w:val="00C671E1"/>
    <w:rsid w:val="00027254"/>
    <w:rsid w:val="001B5301"/>
    <w:rsid w:val="001D0684"/>
    <w:rsid w:val="002519F0"/>
    <w:rsid w:val="002B14DE"/>
    <w:rsid w:val="003075C7"/>
    <w:rsid w:val="00340CF2"/>
    <w:rsid w:val="00362867"/>
    <w:rsid w:val="003B3282"/>
    <w:rsid w:val="00401196"/>
    <w:rsid w:val="00570BB4"/>
    <w:rsid w:val="0057777C"/>
    <w:rsid w:val="005978C9"/>
    <w:rsid w:val="005A37F5"/>
    <w:rsid w:val="00652DB7"/>
    <w:rsid w:val="006C31E7"/>
    <w:rsid w:val="006E520E"/>
    <w:rsid w:val="007238E4"/>
    <w:rsid w:val="00794EC0"/>
    <w:rsid w:val="007E23D9"/>
    <w:rsid w:val="00815F2E"/>
    <w:rsid w:val="008A207A"/>
    <w:rsid w:val="00924992"/>
    <w:rsid w:val="00935CB2"/>
    <w:rsid w:val="00962E08"/>
    <w:rsid w:val="009E697E"/>
    <w:rsid w:val="00AD5144"/>
    <w:rsid w:val="00AF79F5"/>
    <w:rsid w:val="00B67E9B"/>
    <w:rsid w:val="00BA14C7"/>
    <w:rsid w:val="00BD0357"/>
    <w:rsid w:val="00C003C4"/>
    <w:rsid w:val="00C156D1"/>
    <w:rsid w:val="00C356A0"/>
    <w:rsid w:val="00C454ED"/>
    <w:rsid w:val="00C671E1"/>
    <w:rsid w:val="00C85521"/>
    <w:rsid w:val="00CA74DC"/>
    <w:rsid w:val="00CF0F5A"/>
    <w:rsid w:val="00D575DB"/>
    <w:rsid w:val="00DA2D66"/>
    <w:rsid w:val="00DD1488"/>
    <w:rsid w:val="00DF0512"/>
    <w:rsid w:val="00EE563A"/>
    <w:rsid w:val="00F03084"/>
    <w:rsid w:val="00F1481F"/>
    <w:rsid w:val="00F82D31"/>
    <w:rsid w:val="00F842DF"/>
    <w:rsid w:val="06A55467"/>
    <w:rsid w:val="0E415D53"/>
    <w:rsid w:val="0EE71797"/>
    <w:rsid w:val="24B610FA"/>
    <w:rsid w:val="26641690"/>
    <w:rsid w:val="3C384E73"/>
    <w:rsid w:val="404C763D"/>
    <w:rsid w:val="44504BB5"/>
    <w:rsid w:val="4FBC061E"/>
    <w:rsid w:val="63343EC4"/>
    <w:rsid w:val="6B234F4A"/>
    <w:rsid w:val="745C0C61"/>
    <w:rsid w:val="779D7E32"/>
    <w:rsid w:val="7E6E2528"/>
    <w:rsid w:val="7F13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脚 Char"/>
    <w:basedOn w:val="8"/>
    <w:link w:val="4"/>
    <w:qFormat/>
    <w:uiPriority w:val="99"/>
    <w:rPr>
      <w:sz w:val="18"/>
      <w:szCs w:val="18"/>
    </w:rPr>
  </w:style>
  <w:style w:type="paragraph" w:customStyle="1" w:styleId="11">
    <w:name w:val="00-正文"/>
    <w:link w:val="13"/>
    <w:qFormat/>
    <w:uiPriority w:val="0"/>
    <w:pPr>
      <w:widowControl w:val="0"/>
      <w:spacing w:line="560" w:lineRule="exact"/>
      <w:ind w:firstLine="200" w:firstLineChars="200"/>
      <w:jc w:val="both"/>
      <w:textAlignment w:val="center"/>
    </w:pPr>
    <w:rPr>
      <w:rFonts w:ascii="Times New Roman" w:hAnsi="Times New Roman" w:eastAsia="仿宋_GB2312" w:cs="Times New Roman"/>
      <w:sz w:val="28"/>
      <w:szCs w:val="22"/>
      <w:lang w:val="zh-CN" w:eastAsia="zh-CN" w:bidi="ar-SA"/>
    </w:rPr>
  </w:style>
  <w:style w:type="paragraph" w:styleId="12">
    <w:name w:val="List Paragraph"/>
    <w:basedOn w:val="1"/>
    <w:autoRedefine/>
    <w:qFormat/>
    <w:uiPriority w:val="99"/>
    <w:pPr>
      <w:ind w:firstLine="420" w:firstLineChars="200"/>
    </w:pPr>
  </w:style>
  <w:style w:type="character" w:customStyle="1" w:styleId="13">
    <w:name w:val="00-正文 Char"/>
    <w:link w:val="11"/>
    <w:qFormat/>
    <w:uiPriority w:val="0"/>
    <w:rPr>
      <w:rFonts w:ascii="Times New Roman" w:hAnsi="Times New Roman" w:eastAsia="仿宋_GB2312" w:cs="Times New Roman"/>
      <w:kern w:val="0"/>
      <w:sz w:val="28"/>
      <w:lang w:val="zh-CN"/>
    </w:rPr>
  </w:style>
  <w:style w:type="character" w:customStyle="1" w:styleId="14">
    <w:name w:val="页眉 Char"/>
    <w:basedOn w:val="8"/>
    <w:link w:val="5"/>
    <w:qFormat/>
    <w:uiPriority w:val="99"/>
    <w:rPr>
      <w:rFonts w:ascii="Times New Roman" w:hAnsi="Times New Roman" w:eastAsia="仿宋_GB2312" w:cs="Times New Roman"/>
      <w:sz w:val="18"/>
      <w:szCs w:val="18"/>
    </w:rPr>
  </w:style>
  <w:style w:type="character" w:customStyle="1" w:styleId="15">
    <w:name w:val="批注文字 Char"/>
    <w:basedOn w:val="8"/>
    <w:link w:val="2"/>
    <w:autoRedefine/>
    <w:semiHidden/>
    <w:qFormat/>
    <w:uiPriority w:val="99"/>
    <w:rPr>
      <w:rFonts w:ascii="Times New Roman" w:hAnsi="Times New Roman" w:eastAsia="仿宋_GB2312" w:cs="Times New Roman"/>
      <w:sz w:val="32"/>
      <w:szCs w:val="32"/>
    </w:rPr>
  </w:style>
  <w:style w:type="character" w:customStyle="1" w:styleId="16">
    <w:name w:val="批注主题 Char"/>
    <w:basedOn w:val="15"/>
    <w:link w:val="6"/>
    <w:semiHidden/>
    <w:qFormat/>
    <w:uiPriority w:val="99"/>
    <w:rPr>
      <w:rFonts w:ascii="Times New Roman" w:hAnsi="Times New Roman" w:eastAsia="仿宋_GB2312" w:cs="Times New Roman"/>
      <w:b/>
      <w:bCs/>
      <w:sz w:val="32"/>
      <w:szCs w:val="32"/>
    </w:rPr>
  </w:style>
  <w:style w:type="character" w:customStyle="1" w:styleId="17">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BD57-B9B9-4F56-8219-BF220585B79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149</Words>
  <Characters>855</Characters>
  <Lines>7</Lines>
  <Paragraphs>2</Paragraphs>
  <TotalTime>61</TotalTime>
  <ScaleCrop>false</ScaleCrop>
  <LinksUpToDate>false</LinksUpToDate>
  <CharactersWithSpaces>1002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2022-11-09T08:26:00Z</dcterms:created>
  <dc:creator>微软用户</dc:creator>
  <cp:lastModifiedBy>omnomnomn</cp:lastModifiedBy>
  <dcterms:modified xsi:type="dcterms:W3CDTF">2024-04-30T08:44:53Z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5EFB933EDC104A11AA3DDFA711DDC916</vt:lpwstr>
  </property>
</Properties>
</file>