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color w:val="auto"/>
          <w:spacing w:val="6"/>
          <w:w w:val="85"/>
          <w:sz w:val="32"/>
          <w:szCs w:val="32"/>
          <w:lang w:val="en-US" w:eastAsia="zh-CN"/>
        </w:rPr>
      </w:pPr>
      <w:r>
        <w:rPr>
          <w:rFonts w:hint="eastAsia" w:ascii="黑体" w:hAnsi="黑体" w:eastAsia="黑体" w:cs="黑体"/>
          <w:color w:val="auto"/>
          <w:spacing w:val="6"/>
          <w:w w:val="85"/>
          <w:sz w:val="32"/>
          <w:szCs w:val="32"/>
          <w:lang w:val="en-US" w:eastAsia="zh-CN"/>
        </w:rPr>
        <w:t>附件4</w:t>
      </w:r>
    </w:p>
    <w:p>
      <w:pPr>
        <w:spacing w:line="540" w:lineRule="exact"/>
        <w:jc w:val="left"/>
        <w:rPr>
          <w:rFonts w:hint="eastAsia" w:ascii="黑体" w:hAnsi="黑体" w:eastAsia="黑体" w:cs="黑体"/>
          <w:color w:val="auto"/>
          <w:spacing w:val="6"/>
          <w:w w:val="85"/>
          <w:sz w:val="32"/>
          <w:szCs w:val="32"/>
          <w:lang w:val="en-US" w:eastAsia="zh-CN"/>
        </w:rPr>
      </w:pPr>
    </w:p>
    <w:p>
      <w:pPr>
        <w:keepNext w:val="0"/>
        <w:keepLines w:val="0"/>
        <w:pageBreakBefore w:val="0"/>
        <w:kinsoku/>
        <w:wordWrap/>
        <w:overflowPunct/>
        <w:topLinePunct w:val="0"/>
        <w:autoSpaceDE/>
        <w:autoSpaceDN/>
        <w:bidi w:val="0"/>
        <w:adjustRightInd/>
        <w:snapToGrid/>
        <w:spacing w:line="440" w:lineRule="exact"/>
        <w:ind w:firstLine="880" w:firstLineChars="20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车辆动态监管违规处理有关依据</w:t>
      </w:r>
    </w:p>
    <w:p>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道路运输车辆动态监督管理办法</w:t>
      </w:r>
      <w:r>
        <w:rPr>
          <w:rFonts w:hint="eastAsia" w:ascii="黑体" w:hAnsi="黑体" w:eastAsia="黑体" w:cs="黑体"/>
          <w:sz w:val="32"/>
          <w:szCs w:val="32"/>
          <w:lang w:eastAsia="zh-CN"/>
        </w:rPr>
        <w:t>（</w:t>
      </w:r>
      <w:r>
        <w:rPr>
          <w:rFonts w:hint="eastAsia" w:ascii="楷体_GB2312" w:hAnsi="楷体_GB2312" w:eastAsia="楷体_GB2312" w:cs="楷体_GB2312"/>
          <w:color w:val="333333"/>
          <w:sz w:val="32"/>
          <w:szCs w:val="32"/>
          <w:shd w:val="clear" w:color="auto" w:fill="FFFFFF"/>
        </w:rPr>
        <w:t>2022年2月14日</w:t>
      </w:r>
      <w:r>
        <w:rPr>
          <w:rFonts w:hint="eastAsia" w:ascii="楷体_GB2312" w:hAnsi="楷体_GB2312" w:eastAsia="楷体_GB2312" w:cs="楷体_GB2312"/>
          <w:color w:val="333333"/>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highlight w:val="none"/>
          <w:shd w:val="clear" w:color="auto" w:fill="FFFFFF"/>
        </w:rPr>
      </w:pPr>
      <w:r>
        <w:rPr>
          <w:rFonts w:hint="eastAsia" w:ascii="黑体" w:hAnsi="黑体" w:eastAsia="黑体" w:cs="黑体"/>
          <w:color w:val="333333"/>
          <w:sz w:val="32"/>
          <w:szCs w:val="32"/>
          <w:highlight w:val="none"/>
          <w:shd w:val="clear" w:color="auto" w:fill="FFFFFF"/>
        </w:rPr>
        <w:t>第二十一条</w:t>
      </w:r>
      <w:r>
        <w:rPr>
          <w:rFonts w:hint="eastAsia" w:ascii="仿宋_GB2312" w:hAnsi="仿宋_GB2312" w:eastAsia="仿宋_GB2312" w:cs="仿宋_GB2312"/>
          <w:color w:val="333333"/>
          <w:sz w:val="32"/>
          <w:szCs w:val="32"/>
          <w:highlight w:val="none"/>
          <w:shd w:val="clear" w:color="auto" w:fill="FFFFFF"/>
        </w:rPr>
        <w:t>　道路旅客运输企业、道路危险货物运输企业和拥有50辆及以上重型载货汽车或牵引车的道路货物运输企业应当配备专职监控人员。专职监控人员配置原则上按照监控平台每接入100辆车设1人的标准配备，最低不少于2人。</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highlight w:val="none"/>
          <w:shd w:val="clear" w:color="auto" w:fill="FFFFFF"/>
        </w:rPr>
      </w:pPr>
      <w:r>
        <w:rPr>
          <w:rFonts w:hint="eastAsia" w:ascii="黑体" w:hAnsi="黑体" w:eastAsia="黑体" w:cs="黑体"/>
          <w:color w:val="333333"/>
          <w:sz w:val="32"/>
          <w:szCs w:val="32"/>
          <w:highlight w:val="none"/>
          <w:shd w:val="clear" w:color="auto" w:fill="FFFFFF"/>
        </w:rPr>
        <w:t>第三十四条</w:t>
      </w:r>
      <w:r>
        <w:rPr>
          <w:rFonts w:hint="eastAsia" w:ascii="仿宋_GB2312" w:hAnsi="仿宋_GB2312" w:eastAsia="仿宋_GB2312" w:cs="仿宋_GB2312"/>
          <w:color w:val="333333"/>
          <w:sz w:val="32"/>
          <w:szCs w:val="32"/>
          <w:highlight w:val="none"/>
          <w:shd w:val="clear" w:color="auto" w:fill="FFFFFF"/>
        </w:rPr>
        <w:t>　道路运输管理机构对未按照要求安装卫星定位装置，或者已安装卫星定位装置但未能在联网联控系统（重型载货汽车和半挂牵引车未能在道路货运车辆公共平台）正常显示的车辆，不予发放或者审验《道路运输证》。</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highlight w:val="none"/>
          <w:shd w:val="clear" w:color="auto" w:fill="FFFFFF"/>
        </w:rPr>
      </w:pPr>
      <w:r>
        <w:rPr>
          <w:rFonts w:hint="eastAsia" w:ascii="黑体" w:hAnsi="黑体" w:eastAsia="黑体" w:cs="黑体"/>
          <w:color w:val="333333"/>
          <w:sz w:val="32"/>
          <w:szCs w:val="32"/>
          <w:highlight w:val="none"/>
          <w:shd w:val="clear" w:color="auto" w:fill="FFFFFF"/>
        </w:rPr>
        <w:t>第三十五条</w:t>
      </w:r>
      <w:r>
        <w:rPr>
          <w:rFonts w:hint="eastAsia" w:ascii="仿宋_GB2312" w:hAnsi="仿宋_GB2312" w:eastAsia="仿宋_GB2312" w:cs="仿宋_GB2312"/>
          <w:color w:val="333333"/>
          <w:sz w:val="32"/>
          <w:szCs w:val="32"/>
          <w:highlight w:val="none"/>
          <w:shd w:val="clear" w:color="auto" w:fill="FFFFFF"/>
        </w:rPr>
        <w:t xml:space="preserve"> 违反本办法的规定，道路运输企业有下列情形之一的，由县级以上道路运输管理机构责令改正。拒不改正的，处1000元以上3000元以下罚款：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（一）道路运输企业未使用符合标准的监控平台、监控平台未接入联网联控系统、未按规定上传道路运输车辆动态信息的；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（二）未建立或者未有效执行交通违法动态信息处理制度、对驾驶员交通违法处理率低于90%的；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（三）未按规定配备专职监控人员，或者监控人员未有效履行监控职责的。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第三十六条</w:t>
      </w:r>
      <w:r>
        <w:rPr>
          <w:rFonts w:hint="eastAsia" w:ascii="仿宋_GB2312" w:hAnsi="仿宋_GB2312" w:eastAsia="仿宋_GB2312" w:cs="仿宋_GB2312"/>
          <w:color w:val="333333"/>
          <w:sz w:val="32"/>
          <w:szCs w:val="32"/>
          <w:shd w:val="clear" w:color="auto" w:fill="FFFFFF"/>
        </w:rPr>
        <w:t xml:space="preserve"> 违反本办法的规定，道路运输经营者使用卫星定位装置不能保持在线的运输车辆从事经营活动的，由县级以上道路运输管理机构对其进行教育并责令改正，拒不改正或者改正后再次发生同类违反规定情形的，处200元以上800元以下罚款。</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rPr>
        <w:t>第三十七条</w:t>
      </w:r>
      <w:r>
        <w:rPr>
          <w:rFonts w:hint="eastAsia" w:ascii="仿宋_GB2312" w:hAnsi="仿宋_GB2312" w:eastAsia="仿宋_GB2312" w:cs="仿宋_GB2312"/>
          <w:color w:val="333333"/>
          <w:sz w:val="32"/>
          <w:szCs w:val="32"/>
          <w:shd w:val="clear" w:color="auto" w:fill="FFFFFF"/>
        </w:rPr>
        <w:t xml:space="preserve"> 违反本办法的规定，道路运输企业或者提供道路运输车辆动态监控社会化服务的单位伪造、篡改、删除车辆动态监控数据的，由县级以上道路运输管理机构责令改正，处500元以上2000元以下罚款。</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2、广东省道路运输条例（2021年9月29日修正）</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第四十三条  道路运输经营者及相关业务经营者应当建立健全安全生产责任制，制定和实施安全生产规章制度、操作规程，制定生产安全事故应急救援预案并定期组织演练，</w:t>
      </w:r>
      <w:r>
        <w:rPr>
          <w:rFonts w:hint="eastAsia" w:ascii="仿宋_GB2312" w:hAnsi="仿宋_GB2312" w:eastAsia="仿宋_GB2312" w:cs="仿宋_GB2312"/>
          <w:sz w:val="32"/>
          <w:szCs w:val="32"/>
          <w:highlight w:val="none"/>
        </w:rPr>
        <w:t>对生产安全事故隐患进行排查治理，保障运输安全。</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第五十四条  道路运输经营者及相关业务经营者有下列情形之一，不再具备安全生产条件的，原审批机关应当撤销其原批准：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（一）不具备原许可条件的；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（二）存在重大安全隐患经整改仍不合格的。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道路运输经营者及相关业务经营者有下列情形之一的，审批机关可以撤销其相应的批准：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（一）发生一次死亡三人以上且负有主要以上责任的道路交通安全事故的；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（二）车辆严重超速、超载行驶等违法违规行为被交通运输主管部门连续三次通报或者严重危及行车安全被省交通运输主管部门通报的。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第五十八条  交通运输主管部门可以依据交通监控视频资料、汽车行驶记录仪或者卫星定位系统所记录的资料，认定违法事实。</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3、</w:t>
      </w:r>
      <w:r>
        <w:rPr>
          <w:rFonts w:hint="eastAsia" w:ascii="黑体" w:hAnsi="黑体" w:eastAsia="黑体" w:cs="黑体"/>
          <w:sz w:val="32"/>
          <w:szCs w:val="32"/>
        </w:rPr>
        <w:t>国家安全监管总局关于印发《对安全生产领域失信行为开展联合惩戒的实施办法》的通知</w:t>
      </w:r>
      <w:r>
        <w:rPr>
          <w:rFonts w:hint="eastAsia" w:ascii="黑体" w:hAnsi="黑体" w:eastAsia="黑体" w:cs="黑体"/>
          <w:sz w:val="32"/>
          <w:szCs w:val="32"/>
          <w:lang w:eastAsia="zh-CN"/>
        </w:rPr>
        <w:t>（</w:t>
      </w:r>
      <w:r>
        <w:rPr>
          <w:rFonts w:hint="eastAsia" w:ascii="黑体" w:hAnsi="黑体" w:eastAsia="黑体" w:cs="黑体"/>
          <w:sz w:val="32"/>
          <w:szCs w:val="32"/>
        </w:rPr>
        <w:t>安监总办〔2017〕49号</w:t>
      </w:r>
      <w:r>
        <w:rPr>
          <w:rFonts w:hint="eastAsia" w:ascii="黑体" w:hAnsi="黑体" w:eastAsia="黑体" w:cs="黑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第</w:t>
      </w:r>
      <w:r>
        <w:rPr>
          <w:rFonts w:hint="eastAsia" w:ascii="仿宋_GB2312" w:hAnsi="仿宋_GB2312" w:eastAsia="仿宋_GB2312" w:cs="仿宋_GB2312"/>
          <w:sz w:val="32"/>
          <w:szCs w:val="32"/>
          <w:highlight w:val="none"/>
        </w:rPr>
        <w:t>二条生产经营单位及其有关人员存在下列失信行为之一的，纳入联合惩戒对象</w:t>
      </w:r>
      <w:r>
        <w:rPr>
          <w:rFonts w:hint="eastAsia" w:ascii="仿宋_GB2312" w:hAnsi="仿宋_GB2312" w:eastAsia="仿宋_GB2312" w:cs="仿宋_GB2312"/>
          <w:sz w:val="32"/>
          <w:szCs w:val="32"/>
          <w:highlight w:val="none"/>
          <w:lang w:eastAsia="zh-CN"/>
        </w:rPr>
        <w:t>：第三款</w:t>
      </w:r>
      <w:r>
        <w:rPr>
          <w:rFonts w:hint="eastAsia" w:ascii="仿宋_GB2312" w:hAnsi="仿宋_GB2312" w:eastAsia="仿宋_GB2312" w:cs="仿宋_GB2312"/>
          <w:sz w:val="32"/>
          <w:szCs w:val="32"/>
          <w:highlight w:val="none"/>
        </w:rPr>
        <w:t>发现重大生产安全事故隐患，或职业病危害严重超标，不及时整改，仍组织从业人员冒险作业的；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4、《道路运输从业人员管理规定》</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第四十七条道路运输从业人员有下列不具备安全条件情形之一的，由发证机关吊销其从业资格证件：</w:t>
      </w:r>
      <w:r>
        <w:rPr>
          <w:rFonts w:hint="eastAsia" w:ascii="仿宋_GB2312" w:hAnsi="仿宋_GB2312" w:eastAsia="仿宋_GB2312" w:cs="仿宋_GB2312"/>
          <w:sz w:val="32"/>
          <w:szCs w:val="32"/>
          <w:lang w:eastAsia="zh-CN"/>
        </w:rPr>
        <w:t>第三款</w:t>
      </w:r>
      <w:r>
        <w:rPr>
          <w:rFonts w:hint="eastAsia" w:ascii="仿宋_GB2312" w:hAnsi="仿宋_GB2312" w:eastAsia="仿宋_GB2312" w:cs="仿宋_GB2312"/>
          <w:sz w:val="32"/>
          <w:szCs w:val="32"/>
        </w:rPr>
        <w:t>发现重大事故隐患，不立即采取消除措施，继续作业的。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5、广东省交通运输厅关于深刻吸取事故教训改进 加强道路运输驾驶员和车辆管理保障清明等重大节假日道路运输安全的通知（粤交明电〔2018〕20 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严格营运驾驶员“黑名单”制度。交通运输部门要继续执行营运驾驶员“黑名单”制度，对有下列不具备安全生产条件情形之一的，一律记入省运政系统“黑名单”，并根据《道路运输从业人员管理规定》第三十二、四十七条，由发证机关吊（注）销其道路运输从业资格证，自吊（注）销之日起 3 年内不得重新申领，同时运输企业应立即解除聘用：一是发生重大以上道路交通事故且负同等以上责任的；二是交通违法记录满 12 分的；三是有毒驾、酒后驾驶、超员 20%、超速 50%（高速公路超速 20%）以上的；四是 12 个月内有 3 次（超速、超员、行车玩手机、吃东西、做危害驾驶的小动作）以上违法记录被查实的；五是因以上等情形被公安部门注销或吊销机动车驾驶证的。被吊（注）销的从业资格证件由发证机关公告作废并登记归档。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6、交通运输部道路运输车辆动态监督管理办法</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highlight w:val="yellow"/>
          <w:shd w:val="clear" w:color="auto" w:fill="FFFFFF"/>
        </w:rPr>
      </w:pPr>
      <w:r>
        <w:rPr>
          <w:rFonts w:hint="eastAsia" w:ascii="仿宋_GB2312" w:hAnsi="仿宋_GB2312" w:eastAsia="仿宋_GB2312" w:cs="仿宋_GB2312"/>
          <w:color w:val="333333"/>
          <w:sz w:val="32"/>
          <w:szCs w:val="32"/>
          <w:highlight w:val="none"/>
          <w:shd w:val="clear" w:color="auto" w:fill="FFFFFF"/>
        </w:rPr>
        <w:t>第十五条　道路运输管理机构在办理营运手续时，应当对道路运输车辆安装卫星定位装置及接入系统平台的情况进行审核。</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hAnsi="仿宋_GB2312" w:eastAsia="仿宋_GB2312" w:cs="仿宋_GB2312"/>
          <w:color w:val="333333"/>
          <w:sz w:val="32"/>
          <w:szCs w:val="32"/>
          <w:highlight w:val="none"/>
          <w:shd w:val="clear" w:color="auto" w:fill="FFFFFF"/>
        </w:rPr>
      </w:pPr>
      <w:r>
        <w:rPr>
          <w:rFonts w:hint="eastAsia" w:ascii="黑体" w:hAnsi="黑体" w:eastAsia="黑体" w:cs="黑体"/>
          <w:color w:val="333333"/>
          <w:sz w:val="32"/>
          <w:szCs w:val="32"/>
          <w:shd w:val="clear" w:color="auto" w:fill="FFFFFF"/>
        </w:rPr>
        <w:t>第二十七条</w:t>
      </w:r>
      <w:r>
        <w:rPr>
          <w:rFonts w:hint="eastAsia" w:ascii="仿宋_GB2312" w:hAnsi="仿宋_GB2312" w:eastAsia="仿宋_GB2312" w:cs="仿宋_GB2312"/>
          <w:color w:val="333333"/>
          <w:sz w:val="32"/>
          <w:szCs w:val="32"/>
          <w:shd w:val="clear" w:color="auto" w:fill="FFFFFF"/>
        </w:rPr>
        <w:t>　</w:t>
      </w:r>
      <w:r>
        <w:rPr>
          <w:rFonts w:hint="eastAsia" w:ascii="仿宋_GB2312" w:hAnsi="仿宋_GB2312" w:eastAsia="仿宋_GB2312" w:cs="仿宋_GB2312"/>
          <w:color w:val="333333"/>
          <w:sz w:val="32"/>
          <w:szCs w:val="32"/>
          <w:highlight w:val="none"/>
          <w:shd w:val="clear" w:color="auto" w:fill="FFFFFF"/>
        </w:rPr>
        <w:t>任何单位和个人不得破坏卫星定位装置以及恶意人为干扰、屏蔽卫星定位装置信号，不得篡改卫星定位装置数据。</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第三十条</w:t>
      </w:r>
      <w:r>
        <w:rPr>
          <w:rFonts w:hint="eastAsia" w:ascii="仿宋_GB2312" w:hAnsi="仿宋_GB2312" w:eastAsia="仿宋_GB2312" w:cs="仿宋_GB2312"/>
          <w:color w:val="333333"/>
          <w:sz w:val="32"/>
          <w:szCs w:val="32"/>
          <w:shd w:val="clear" w:color="auto" w:fill="FFFFFF"/>
        </w:rPr>
        <w:t>　公安机关交通管理部门可以将道路运输车辆动态监控系统记录的交通违法信息作为执法依据，依法查处。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hAnsi="仿宋_GB2312" w:eastAsia="仿宋_GB2312" w:cs="仿宋_GB2312"/>
          <w:color w:val="333333"/>
          <w:sz w:val="32"/>
          <w:szCs w:val="32"/>
          <w:highlight w:val="none"/>
          <w:shd w:val="clear" w:color="auto" w:fill="FFFFFF"/>
        </w:rPr>
      </w:pPr>
      <w:r>
        <w:rPr>
          <w:rFonts w:hint="eastAsia" w:ascii="黑体" w:hAnsi="黑体" w:eastAsia="黑体" w:cs="黑体"/>
          <w:color w:val="333333"/>
          <w:sz w:val="32"/>
          <w:szCs w:val="32"/>
          <w:highlight w:val="none"/>
          <w:shd w:val="clear" w:color="auto" w:fill="FFFFFF"/>
        </w:rPr>
        <w:t>第三十五条</w:t>
      </w:r>
      <w:r>
        <w:rPr>
          <w:rFonts w:hint="eastAsia" w:ascii="仿宋_GB2312" w:hAnsi="仿宋_GB2312" w:eastAsia="仿宋_GB2312" w:cs="仿宋_GB2312"/>
          <w:color w:val="333333"/>
          <w:sz w:val="32"/>
          <w:szCs w:val="32"/>
          <w:highlight w:val="none"/>
          <w:shd w:val="clear" w:color="auto" w:fill="FFFFFF"/>
        </w:rPr>
        <w:t xml:space="preserve"> 违反本办法的规定，道路运输企业有下列情形之一的，由县级以上道路运输管理机构责令改正。拒不改正的，处1000元以上3000元以下罚款：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（一）道路运输企业未使用符合标准的监控平台、监控平台未接入联网联控系统、未按规定上传道路运输车辆动态信息的；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（二）未建立或者未有效执行交通违法动态信息处理制度、对驾驶员交通违法处理率低于90%的；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（三）未按规定配备专职监控人员，或者监控人员未有效履行监控职责的。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第三十六条</w:t>
      </w:r>
      <w:r>
        <w:rPr>
          <w:rFonts w:hint="eastAsia" w:ascii="仿宋_GB2312" w:hAnsi="仿宋_GB2312" w:eastAsia="仿宋_GB2312" w:cs="仿宋_GB2312"/>
          <w:color w:val="333333"/>
          <w:sz w:val="32"/>
          <w:szCs w:val="32"/>
          <w:shd w:val="clear" w:color="auto" w:fill="FFFFFF"/>
        </w:rPr>
        <w:t xml:space="preserve"> 违反本办法的规定，道路运输经营者使用卫星定位装置不能保持在线的运输车辆从事经营活动的，由县级以上道路运输管理机构对其进行教育并责令改正，拒不改正或者改正后再次发生同类违反规定情形的，处200元以上800元以下罚款。</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7、广东省交通运输厅关于印发道路运输车辆智能监管系统应用管理办法（试行）的通知（粤交</w:t>
      </w:r>
      <w:r>
        <w:rPr>
          <w:rFonts w:hint="eastAsia" w:ascii="黑体" w:hAnsi="黑体" w:eastAsia="黑体" w:cs="黑体"/>
          <w:sz w:val="32"/>
          <w:szCs w:val="32"/>
        </w:rPr>
        <w:t>〔</w:t>
      </w:r>
      <w:r>
        <w:rPr>
          <w:rFonts w:hint="eastAsia" w:ascii="黑体" w:hAnsi="黑体" w:eastAsia="黑体" w:cs="黑体"/>
          <w:sz w:val="32"/>
          <w:szCs w:val="32"/>
          <w:lang w:val="en-US" w:eastAsia="zh-CN"/>
        </w:rPr>
        <w:t>2021</w:t>
      </w:r>
      <w:r>
        <w:rPr>
          <w:rFonts w:hint="eastAsia" w:ascii="黑体" w:hAnsi="黑体" w:eastAsia="黑体" w:cs="黑体"/>
          <w:sz w:val="32"/>
          <w:szCs w:val="32"/>
        </w:rPr>
        <w:t>〕</w:t>
      </w:r>
      <w:r>
        <w:rPr>
          <w:rFonts w:hint="eastAsia" w:ascii="黑体" w:hAnsi="黑体" w:eastAsia="黑体" w:cs="黑体"/>
          <w:sz w:val="32"/>
          <w:szCs w:val="32"/>
          <w:lang w:val="en-US" w:eastAsia="zh-CN"/>
        </w:rPr>
        <w:t>13号）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第十四条道路运输企业不具备专职监控人员配置条件的，可委托第三方动态监控机构(以下简称“第三方机构”)对所属道路运输车辆和驾驶员进行实时动态监督管理。</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第十九条</w:t>
      </w:r>
      <w:r>
        <w:rPr>
          <w:rFonts w:hint="eastAsia" w:ascii="仿宋_GB2312" w:hAnsi="仿宋_GB2312" w:eastAsia="仿宋_GB2312" w:cs="仿宋_GB2312"/>
          <w:sz w:val="32"/>
          <w:szCs w:val="32"/>
          <w:lang w:val="en-US" w:eastAsia="zh-CN"/>
        </w:rPr>
        <w:t>道路运输企业(或委托的第三方机构)的专职监控人员应当及时处理智能监管系统提示的报警信息，实时分析、处理车辆和驾驶员行驶动态信息，及时提醒驾驶员纠正不安全驾驶行为，并记录存档至动态监控台账;对经提醒仍然继续不安全驾驶的驾驶员，应当及时向道路运输企业的安全管理人员报告，安全管理人员应当立即采取措施制止;对拒不执行制止措施仍然继续不安全驾驶的，按《道路运输车辆动态监督管理办法》有关规定处理。</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第二十三条</w:t>
      </w:r>
      <w:r>
        <w:rPr>
          <w:rFonts w:hint="eastAsia" w:ascii="仿宋_GB2312" w:hAnsi="仿宋_GB2312" w:eastAsia="仿宋_GB2312" w:cs="仿宋_GB2312"/>
          <w:sz w:val="32"/>
          <w:szCs w:val="32"/>
        </w:rPr>
        <w:t>道路运输企业(或委托的第三方机构)应加强驾驶员驾驶时长管理，日间(当日6点至22点)连续驾车超过4个小时未停车休息20分钟以上或者未停车更换驾驶员驾驶的，应当采取措施通知驾驶员强制停车休息;夜间(当日22点至次日6点)连续驾车超过2小时未停车休息20分钟以上或者未停车更换驾驶员的，应当及时采取措施通知驾驶员强制停车休息。客运驾驶员24小时累计驾驶时间原则上不超过8小时</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第二十四条</w:t>
      </w:r>
      <w:r>
        <w:rPr>
          <w:rFonts w:hint="eastAsia" w:ascii="仿宋_GB2312" w:hAnsi="仿宋_GB2312" w:eastAsia="仿宋_GB2312" w:cs="仿宋_GB2312"/>
          <w:sz w:val="32"/>
          <w:szCs w:val="32"/>
        </w:rPr>
        <w:t>道路运输驾驶员不得超速行驶，车辆行驶的最高限速按照《道路交通安全法实施条例》等有关规定和实际行驶路段最高限速标识执行。客运车辆夜间行驶速度不得超过日间限速的80%。</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第二十五条</w:t>
      </w:r>
      <w:r>
        <w:rPr>
          <w:rFonts w:hint="eastAsia" w:ascii="仿宋_GB2312" w:hAnsi="仿宋_GB2312" w:eastAsia="仿宋_GB2312" w:cs="仿宋_GB2312"/>
          <w:sz w:val="32"/>
          <w:szCs w:val="32"/>
        </w:rPr>
        <w:t>道路运输驾驶员应按规定使用车载设备，不得人为干扰、屏蔽车载设备信号，不得破坏车载设备，不得随意调整或遮挡车载设备。</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w:t>
      </w:r>
      <w:r>
        <w:rPr>
          <w:rFonts w:hint="eastAsia" w:ascii="仿宋_GB2312" w:hAnsi="仿宋_GB2312" w:eastAsia="仿宋_GB2312" w:cs="仿宋_GB2312"/>
          <w:b/>
          <w:bCs/>
          <w:sz w:val="32"/>
          <w:szCs w:val="32"/>
          <w:lang w:eastAsia="zh-CN"/>
        </w:rPr>
        <w:t>十</w:t>
      </w:r>
      <w:r>
        <w:rPr>
          <w:rFonts w:hint="eastAsia" w:ascii="仿宋_GB2312" w:hAnsi="仿宋_GB2312" w:eastAsia="仿宋_GB2312" w:cs="仿宋_GB2312"/>
          <w:b/>
          <w:bCs/>
          <w:sz w:val="32"/>
          <w:szCs w:val="32"/>
        </w:rPr>
        <w:t>四条</w:t>
      </w:r>
      <w:r>
        <w:rPr>
          <w:rFonts w:hint="eastAsia" w:ascii="仿宋_GB2312" w:hAnsi="仿宋_GB2312" w:eastAsia="仿宋_GB2312" w:cs="仿宋_GB2312"/>
          <w:sz w:val="32"/>
          <w:szCs w:val="32"/>
        </w:rPr>
        <w:t>道路运输企业所属同一车辆因严重超速、超载行驶等违法违规行为被交通运输主管部门连续三次通报的，按照《广东省道路运输条例》第五十</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条处理。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firstLine="320" w:firstLineChars="1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8、广东省道路运输车辆智能监控数据综合应用管理办法(试行)(粤应急规〔2021〕3号)</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color w:val="FF0000"/>
          <w:sz w:val="32"/>
          <w:szCs w:val="32"/>
          <w:lang w:eastAsia="zh-CN"/>
        </w:rPr>
        <w:t>第十六条</w:t>
      </w:r>
      <w:r>
        <w:rPr>
          <w:rFonts w:hint="eastAsia" w:ascii="仿宋_GB2312" w:hAnsi="仿宋_GB2312" w:eastAsia="仿宋_GB2312" w:cs="仿宋_GB2312"/>
          <w:color w:val="FF0000"/>
          <w:sz w:val="32"/>
          <w:szCs w:val="32"/>
          <w:lang w:eastAsia="zh-CN"/>
        </w:rPr>
        <w:t>各级公安机关按照有关法律法规规定将道路运输车辆智能监控数据作为道路交通违法行为执法依据，加强道路运输车辆、驾押人员的路面查缉和执法。</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各级交通运输主管部门按照分级分类原则，通过智能监管系统，对智能监控报警、电子运单数据实时采集、分类处置、分级管理，加强道路运输企业、车辆、驾押人员的监管执法。对高风险道路运输企</w:t>
      </w:r>
      <w:bookmarkStart w:id="0" w:name="_GoBack"/>
      <w:bookmarkEnd w:id="0"/>
      <w:r>
        <w:rPr>
          <w:rFonts w:hint="eastAsia" w:ascii="仿宋_GB2312" w:hAnsi="仿宋_GB2312" w:eastAsia="仿宋_GB2312" w:cs="仿宋_GB2312"/>
          <w:sz w:val="32"/>
          <w:szCs w:val="32"/>
          <w:highlight w:val="none"/>
          <w:lang w:eastAsia="zh-CN"/>
        </w:rPr>
        <w:t>业、车辆、驾押人员应采取约谈、执法、处罚等综合措施，加强安全监管。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第二十五条</w:t>
      </w:r>
      <w:r>
        <w:rPr>
          <w:rFonts w:hint="eastAsia" w:ascii="仿宋_GB2312" w:hAnsi="仿宋_GB2312" w:eastAsia="仿宋_GB2312" w:cs="仿宋_GB2312"/>
          <w:sz w:val="32"/>
          <w:szCs w:val="32"/>
          <w:highlight w:val="none"/>
          <w:lang w:eastAsia="zh-CN"/>
        </w:rPr>
        <w:t>对未按要求安装卫星定位报警装置，或者已安装但未能在智能监管系统正常显示的车辆，由交通运输主管部门依据《道路运输车辆动态监督管理办法》等有关规定处理。未按照规定对所属道路运输车辆安装并使用智能视频监控装置的道路运输企业,交通运输主管部门应当开展重点监督检查，并依据有关规定处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第二十七条</w:t>
      </w:r>
      <w:r>
        <w:rPr>
          <w:rFonts w:hint="eastAsia" w:ascii="仿宋_GB2312" w:hAnsi="仿宋_GB2312" w:eastAsia="仿宋_GB2312" w:cs="仿宋_GB2312"/>
          <w:sz w:val="32"/>
          <w:szCs w:val="32"/>
          <w:highlight w:val="none"/>
          <w:lang w:eastAsia="zh-CN"/>
        </w:rPr>
        <w:t>车辆未按照规定安装并使用卫星定位汽车行驶记录仪、有关智能监控信息数据证实道路运输车辆驾驶人有违反道路交通安全相关法律法规的，由县级以上公安机关依法予以警示教育或行政处罚。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53FB6"/>
    <w:multiLevelType w:val="singleLevel"/>
    <w:tmpl w:val="A8053FB6"/>
    <w:lvl w:ilvl="0" w:tentative="0">
      <w:start w:val="17"/>
      <w:numFmt w:val="chineseCounting"/>
      <w:suff w:val="space"/>
      <w:lvlText w:val="第%1条"/>
      <w:lvlJc w:val="left"/>
      <w:rPr>
        <w:rFonts w:hint="eastAsia"/>
        <w:b/>
        <w:bCs/>
      </w:rPr>
    </w:lvl>
  </w:abstractNum>
  <w:abstractNum w:abstractNumId="1">
    <w:nsid w:val="67EE69EB"/>
    <w:multiLevelType w:val="singleLevel"/>
    <w:tmpl w:val="67EE69E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3MzhhZTk5NjMzNTZlMTI3ZDFlZjE3YWY1OWNiYzgifQ=="/>
  </w:docVars>
  <w:rsids>
    <w:rsidRoot w:val="40DD20EE"/>
    <w:rsid w:val="000D0A2C"/>
    <w:rsid w:val="006C755B"/>
    <w:rsid w:val="011C3CC0"/>
    <w:rsid w:val="032F31A3"/>
    <w:rsid w:val="05A8641E"/>
    <w:rsid w:val="064B2363"/>
    <w:rsid w:val="07A7582F"/>
    <w:rsid w:val="0966277A"/>
    <w:rsid w:val="0A785593"/>
    <w:rsid w:val="106A6D7E"/>
    <w:rsid w:val="14A910E0"/>
    <w:rsid w:val="14E7581B"/>
    <w:rsid w:val="152E0C13"/>
    <w:rsid w:val="17E40F98"/>
    <w:rsid w:val="1A79494E"/>
    <w:rsid w:val="1DE657E0"/>
    <w:rsid w:val="1E47464E"/>
    <w:rsid w:val="21B81ECD"/>
    <w:rsid w:val="222A028E"/>
    <w:rsid w:val="242C77E2"/>
    <w:rsid w:val="28E3524D"/>
    <w:rsid w:val="297A02F3"/>
    <w:rsid w:val="29DC183A"/>
    <w:rsid w:val="2A3B4376"/>
    <w:rsid w:val="2E5C248A"/>
    <w:rsid w:val="2F733BEC"/>
    <w:rsid w:val="301C6C36"/>
    <w:rsid w:val="33F22FF0"/>
    <w:rsid w:val="39FD2A00"/>
    <w:rsid w:val="3A351778"/>
    <w:rsid w:val="3C1E6359"/>
    <w:rsid w:val="3D23556F"/>
    <w:rsid w:val="40DD20EE"/>
    <w:rsid w:val="439D26B6"/>
    <w:rsid w:val="47791E5D"/>
    <w:rsid w:val="4B1172F2"/>
    <w:rsid w:val="4B6A1CA0"/>
    <w:rsid w:val="4BCE638A"/>
    <w:rsid w:val="4C416163"/>
    <w:rsid w:val="4CEF795D"/>
    <w:rsid w:val="4CFA3372"/>
    <w:rsid w:val="556C5FDE"/>
    <w:rsid w:val="59F20A8D"/>
    <w:rsid w:val="59FD510C"/>
    <w:rsid w:val="5B737043"/>
    <w:rsid w:val="646258FA"/>
    <w:rsid w:val="660213DA"/>
    <w:rsid w:val="6B385D10"/>
    <w:rsid w:val="6E4678CD"/>
    <w:rsid w:val="72587BCF"/>
    <w:rsid w:val="76974728"/>
    <w:rsid w:val="7A4B0416"/>
    <w:rsid w:val="7D0D5A4B"/>
    <w:rsid w:val="7F582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3309</Words>
  <Characters>3380</Characters>
  <Lines>0</Lines>
  <Paragraphs>0</Paragraphs>
  <TotalTime>11</TotalTime>
  <ScaleCrop>false</ScaleCrop>
  <LinksUpToDate>false</LinksUpToDate>
  <CharactersWithSpaces>3426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2022-04-15T06:43:00Z</dcterms:created>
  <dc:creator>黄明忠</dc:creator>
  <cp:lastModifiedBy>二楼</cp:lastModifiedBy>
  <cp:lastPrinted>2022-08-08T06:58:00Z</cp:lastPrinted>
  <dcterms:modified xsi:type="dcterms:W3CDTF">2022-11-11T00:41:55Z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F2793C68A9574E40BE3C01CC0EA469AA</vt:lpwstr>
  </property>
</Properties>
</file>