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rPr>
          <w:rStyle w:val="5"/>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i w:val="0"/>
          <w:iCs w:val="0"/>
          <w:caps w:val="0"/>
          <w:color w:val="auto"/>
          <w:spacing w:val="0"/>
          <w:sz w:val="36"/>
          <w:szCs w:val="36"/>
          <w:shd w:val="clear" w:fill="FFFFFF"/>
        </w:rPr>
        <w:t>《梅州市市场监督管理局行政执法减免责清单（2022年）》解读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rStyle w:val="5"/>
          <w:sz w:val="21"/>
          <w:szCs w:val="21"/>
        </w:rPr>
        <w:t>一、制定的背景和依据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sz w:val="21"/>
          <w:szCs w:val="21"/>
        </w:rPr>
        <w:t>　　为进一步优化营商环境，激发市场主体活力，不断完善轻微违法行为容错机制和包容审慎监管方式，全面推进依法行政，市市场监管根据新修订的《</w:t>
      </w:r>
      <w:bookmarkStart w:id="0" w:name="_GoBack"/>
      <w:bookmarkEnd w:id="0"/>
      <w:r>
        <w:rPr>
          <w:rFonts w:hint="eastAsia"/>
          <w:sz w:val="21"/>
          <w:szCs w:val="21"/>
          <w:lang w:eastAsia="zh-CN"/>
        </w:rPr>
        <w:t>中华人民共和国行政处罚法</w:t>
      </w:r>
      <w:r>
        <w:rPr>
          <w:sz w:val="21"/>
          <w:szCs w:val="21"/>
        </w:rPr>
        <w:t>》《优化营商环境条例》等法律、法规，以及《广东省人民政府办公厅关于推进包容审慎监管的指导意见》（粤府办〔2022〕7号）、《梅州市人民政府办公室关于印发推进包容审慎监管工作方案的通知》（梅市府办〔2022〕15号），并结合我市市场监管实际，制定了《梅州市市场监督管理局行政执法减免责清单（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rStyle w:val="5"/>
          <w:sz w:val="21"/>
          <w:szCs w:val="21"/>
        </w:rPr>
        <w:t>　　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sz w:val="21"/>
          <w:szCs w:val="21"/>
        </w:rPr>
        <w:t>　　《梅州市市场监督管理局行政执法减免责清单（2022年）》包括“四张单”，分别是免处罚清单、减轻处罚清单、从轻处罚清单和免强制清单，涵盖登记管理、网监、广告、计量、价格、知识产权等多个监管领域，共计43个事项。列入清单的事项均未触碰安全底线，但与企业日常经营和群众生活息息相关。对涉及保障人身安全、财产安全、公共安全和社会稳定的领域（如食品、特种设备等），依法实施特殊严格监管，不纳入清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sz w:val="21"/>
          <w:szCs w:val="21"/>
        </w:rPr>
        <w:t>　　免处罚清单（18项）：免予处罚是指因法定原因对特定违法行为不给予行政处罚。《</w:t>
      </w:r>
      <w:r>
        <w:rPr>
          <w:rFonts w:hint="eastAsia"/>
          <w:sz w:val="21"/>
          <w:szCs w:val="21"/>
          <w:lang w:eastAsia="zh-CN"/>
        </w:rPr>
        <w:t>中华人民共和国行政处罚法</w:t>
      </w:r>
      <w:r>
        <w:rPr>
          <w:sz w:val="21"/>
          <w:szCs w:val="21"/>
        </w:rPr>
        <w:t>》第三十三条规定的不予处罚的两种情形：一是“违法行为轻微并及时改正，没有造成危害后果的，不予行政处罚”，即法定免处罚，主要包括相关法律、法规、规章规定应当先行责令改正，当事人及时改正则不予行政处罚；二是“初次违法且危害后果轻微并及时改正的，可以不予行政处罚”，即酌定免处罚，主要为当事人符合特定裁量情形则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sz w:val="21"/>
          <w:szCs w:val="21"/>
        </w:rPr>
        <w:t>　　减轻处罚清单（5项）：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r>
        <w:rPr>
          <w:rFonts w:hint="eastAsia"/>
          <w:sz w:val="21"/>
          <w:szCs w:val="21"/>
          <w:lang w:eastAsia="zh-CN"/>
        </w:rPr>
        <w:t>中华人民共和国行政处罚法</w:t>
      </w:r>
      <w:r>
        <w:rPr>
          <w:sz w:val="21"/>
          <w:szCs w:val="21"/>
        </w:rPr>
        <w:t>》第三十条、第三十二条、《广东省规范行政处罚自由裁量权规定》第十四条对应当从轻或者减轻处罚情形作出了具体规定。为审慎行使行政处罚自由裁量权，对适用减轻处罚的违法行为，要求当事人至少符合《</w:t>
      </w:r>
      <w:r>
        <w:rPr>
          <w:rFonts w:hint="eastAsia"/>
          <w:sz w:val="21"/>
          <w:szCs w:val="21"/>
          <w:lang w:eastAsia="zh-CN"/>
        </w:rPr>
        <w:t>中华人民共和国行政处罚法</w:t>
      </w:r>
      <w:r>
        <w:rPr>
          <w:sz w:val="21"/>
          <w:szCs w:val="21"/>
        </w:rPr>
        <w:t>》第三十二条前四项中两种以上法定情形或者法律、法规、规章规定应当减轻行政处罚的情形。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sz w:val="21"/>
          <w:szCs w:val="21"/>
        </w:rPr>
        <w:t>　　从轻处罚清单（18项）：从轻行政处罚是指在依法可选择的处罚种类和处罚幅度内，适用较轻、较少的处罚种类或者较低的处罚幅度。其中，罚款的数额应当在从最低限到最高限这一幅度中较低的30%部分。对适用减轻处罚的违法行为，要求当事人符合《</w:t>
      </w:r>
      <w:r>
        <w:rPr>
          <w:rFonts w:hint="eastAsia"/>
          <w:sz w:val="21"/>
          <w:szCs w:val="21"/>
          <w:lang w:eastAsia="zh-CN"/>
        </w:rPr>
        <w:t>中华人民共和国行政处罚法</w:t>
      </w:r>
      <w:r>
        <w:rPr>
          <w:sz w:val="21"/>
          <w:szCs w:val="21"/>
        </w:rPr>
        <w:t>》第三十二条前四项中一种法定情形或者法律、法规、规章规定应当从轻行政处罚的情形。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both"/>
        <w:rPr>
          <w:sz w:val="21"/>
          <w:szCs w:val="21"/>
        </w:rPr>
      </w:pPr>
      <w:r>
        <w:rPr>
          <w:sz w:val="21"/>
          <w:szCs w:val="21"/>
        </w:rPr>
        <w:t>　　免强制清单（2项）：免予强制是指违法行为显著轻微、没有明显社会危害后果，采取非强制手段可实现制止违法行为、防止证据损毁、避免危害发生、控制危险扩大等行政管理目的的，不采取行政强制手段。经研究，将“对涉嫌违法企业与直销活动有关的材料和非法财物进行查封、扣押的行政强制”分别列为免强制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rPr>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MzViNjM0MDI1ZTBlNmMzZDM2YTY0MDA4NjgyYmYifQ=="/>
  </w:docVars>
  <w:rsids>
    <w:rsidRoot w:val="00000000"/>
    <w:rsid w:val="1CE53BE1"/>
    <w:rsid w:val="24672839"/>
    <w:rsid w:val="740B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1211</Words>
  <Characters>1232</Characters>
  <Lines>0</Lines>
  <Paragraphs>0</Paragraphs>
  <TotalTime>1</TotalTime>
  <ScaleCrop>false</ScaleCrop>
  <LinksUpToDate>false</LinksUpToDate>
  <CharactersWithSpaces>1246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2023-02-23T06:57:00Z</dcterms:created>
  <dc:creator>jlgszj</dc:creator>
  <cp:lastModifiedBy>&amp;EDHF恭^_^阗</cp:lastModifiedBy>
  <cp:lastPrinted>2023-02-23T07:15:00Z</cp:lastPrinted>
  <dcterms:modified xsi:type="dcterms:W3CDTF">2023-05-09T01:19:18Z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D0866E95A8C945C3AFFD14C7B8B6E0D5</vt:lpwstr>
  </property>
</Properties>
</file>