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4506" w:rsidRPr="0013481E" w:rsidRDefault="00DD4506" w:rsidP="00796618"/>
    <w:p w:rsidR="00AC10C5" w:rsidRPr="0013481E" w:rsidRDefault="00AC10C5" w:rsidP="00796618"/>
    <w:p w:rsidR="00FA3E3F" w:rsidRPr="0013481E" w:rsidRDefault="00FA3E3F" w:rsidP="00554432">
      <w:pPr>
        <w:spacing w:beforeLines="50" w:afterLines="50" w:line="740" w:lineRule="exact"/>
        <w:ind w:left="0"/>
        <w:jc w:val="center"/>
        <w:rPr>
          <w:rFonts w:eastAsia="黑体"/>
          <w:sz w:val="44"/>
          <w:szCs w:val="44"/>
        </w:rPr>
      </w:pPr>
      <w:r w:rsidRPr="0013481E">
        <w:rPr>
          <w:rFonts w:eastAsia="黑体"/>
          <w:sz w:val="44"/>
          <w:szCs w:val="44"/>
        </w:rPr>
        <w:t>201</w:t>
      </w:r>
      <w:r w:rsidR="001E011E" w:rsidRPr="0013481E">
        <w:rPr>
          <w:rFonts w:eastAsia="黑体"/>
          <w:sz w:val="44"/>
          <w:szCs w:val="44"/>
        </w:rPr>
        <w:t>7</w:t>
      </w:r>
      <w:r w:rsidRPr="0013481E">
        <w:rPr>
          <w:rFonts w:eastAsia="黑体"/>
          <w:sz w:val="44"/>
          <w:szCs w:val="44"/>
        </w:rPr>
        <w:t>年</w:t>
      </w:r>
      <w:r w:rsidR="00F57D2E" w:rsidRPr="0013481E">
        <w:rPr>
          <w:rFonts w:eastAsia="黑体"/>
          <w:sz w:val="44"/>
          <w:szCs w:val="44"/>
        </w:rPr>
        <w:t>蕉岭县</w:t>
      </w:r>
      <w:r w:rsidR="009F0473" w:rsidRPr="0013481E">
        <w:rPr>
          <w:rFonts w:eastAsia="黑体"/>
          <w:sz w:val="44"/>
          <w:szCs w:val="44"/>
        </w:rPr>
        <w:t>国民经济和社会发展</w:t>
      </w:r>
      <w:r w:rsidRPr="0013481E">
        <w:rPr>
          <w:rFonts w:eastAsia="黑体"/>
          <w:sz w:val="44"/>
          <w:szCs w:val="44"/>
        </w:rPr>
        <w:t>统计公报</w:t>
      </w:r>
    </w:p>
    <w:p w:rsidR="00F57D2E" w:rsidRPr="0013481E" w:rsidRDefault="00F57D2E" w:rsidP="00554432">
      <w:pPr>
        <w:spacing w:beforeLines="150" w:afterLines="50" w:line="240" w:lineRule="auto"/>
        <w:ind w:left="0"/>
        <w:jc w:val="center"/>
        <w:rPr>
          <w:rFonts w:eastAsia="黑体"/>
          <w:sz w:val="32"/>
          <w:szCs w:val="32"/>
        </w:rPr>
      </w:pPr>
      <w:r w:rsidRPr="0013481E">
        <w:rPr>
          <w:rFonts w:eastAsia="黑体"/>
          <w:sz w:val="32"/>
          <w:szCs w:val="32"/>
        </w:rPr>
        <w:t>蕉岭县统计局</w:t>
      </w:r>
    </w:p>
    <w:p w:rsidR="00FA3E3F" w:rsidRPr="0013481E" w:rsidRDefault="00FA3E3F" w:rsidP="00554432">
      <w:pPr>
        <w:spacing w:beforeLines="50" w:afterLines="50" w:line="240" w:lineRule="auto"/>
        <w:ind w:left="0"/>
        <w:jc w:val="center"/>
        <w:rPr>
          <w:rFonts w:eastAsia="黑体"/>
          <w:sz w:val="32"/>
          <w:szCs w:val="32"/>
        </w:rPr>
      </w:pPr>
      <w:r w:rsidRPr="0013481E">
        <w:rPr>
          <w:rFonts w:eastAsia="黑体"/>
          <w:sz w:val="32"/>
          <w:szCs w:val="32"/>
        </w:rPr>
        <w:t>201</w:t>
      </w:r>
      <w:r w:rsidR="001E011E" w:rsidRPr="0013481E">
        <w:rPr>
          <w:rFonts w:eastAsia="黑体"/>
          <w:sz w:val="32"/>
          <w:szCs w:val="32"/>
        </w:rPr>
        <w:t>8</w:t>
      </w:r>
      <w:r w:rsidRPr="0013481E">
        <w:rPr>
          <w:rFonts w:eastAsia="黑体"/>
          <w:sz w:val="32"/>
          <w:szCs w:val="32"/>
        </w:rPr>
        <w:t>年</w:t>
      </w:r>
      <w:r w:rsidR="00554432">
        <w:rPr>
          <w:rFonts w:eastAsia="黑体" w:hint="eastAsia"/>
          <w:sz w:val="32"/>
          <w:szCs w:val="32"/>
        </w:rPr>
        <w:t>4</w:t>
      </w:r>
      <w:r w:rsidRPr="0013481E">
        <w:rPr>
          <w:rFonts w:eastAsia="黑体"/>
          <w:sz w:val="32"/>
          <w:szCs w:val="32"/>
        </w:rPr>
        <w:t>月</w:t>
      </w:r>
      <w:r w:rsidR="00D816B7" w:rsidRPr="0013481E">
        <w:rPr>
          <w:rFonts w:eastAsia="黑体"/>
          <w:sz w:val="32"/>
          <w:szCs w:val="32"/>
        </w:rPr>
        <w:t>8</w:t>
      </w:r>
      <w:r w:rsidRPr="0013481E">
        <w:rPr>
          <w:rFonts w:eastAsia="黑体"/>
          <w:sz w:val="32"/>
          <w:szCs w:val="32"/>
        </w:rPr>
        <w:t>日</w:t>
      </w:r>
    </w:p>
    <w:p w:rsidR="008612F0" w:rsidRPr="0013481E" w:rsidRDefault="008612F0" w:rsidP="00796618"/>
    <w:p w:rsidR="00733ECA" w:rsidRPr="0013481E" w:rsidRDefault="001E011E" w:rsidP="00554432">
      <w:pPr>
        <w:spacing w:beforeLines="50" w:afterLines="50" w:line="540" w:lineRule="exact"/>
        <w:ind w:left="0" w:firstLineChars="200" w:firstLine="632"/>
        <w:rPr>
          <w:rFonts w:eastAsia="仿宋_GB2312"/>
          <w:sz w:val="32"/>
          <w:szCs w:val="32"/>
        </w:rPr>
      </w:pPr>
      <w:r w:rsidRPr="0013481E">
        <w:rPr>
          <w:rFonts w:eastAsia="仿宋_GB2312"/>
          <w:spacing w:val="-2"/>
          <w:sz w:val="32"/>
          <w:szCs w:val="32"/>
        </w:rPr>
        <w:t>2017</w:t>
      </w:r>
      <w:r w:rsidRPr="0013481E">
        <w:rPr>
          <w:rFonts w:eastAsia="仿宋_GB2312"/>
          <w:spacing w:val="-2"/>
          <w:sz w:val="32"/>
          <w:szCs w:val="32"/>
        </w:rPr>
        <w:t>年，在县委、县政府的正确领导下，各级各部门紧紧围绕加快构建</w:t>
      </w:r>
      <w:r w:rsidRPr="0013481E">
        <w:rPr>
          <w:rFonts w:eastAsia="仿宋_GB2312"/>
          <w:spacing w:val="-2"/>
          <w:sz w:val="32"/>
          <w:szCs w:val="32"/>
        </w:rPr>
        <w:t>“</w:t>
      </w:r>
      <w:r w:rsidRPr="0013481E">
        <w:rPr>
          <w:rFonts w:eastAsia="仿宋_GB2312"/>
          <w:spacing w:val="-2"/>
          <w:sz w:val="32"/>
          <w:szCs w:val="32"/>
        </w:rPr>
        <w:t>一城两业三组团</w:t>
      </w:r>
      <w:r w:rsidRPr="0013481E">
        <w:rPr>
          <w:rFonts w:eastAsia="仿宋_GB2312"/>
          <w:spacing w:val="-2"/>
          <w:sz w:val="32"/>
          <w:szCs w:val="32"/>
        </w:rPr>
        <w:t>”</w:t>
      </w:r>
      <w:r w:rsidRPr="0013481E">
        <w:rPr>
          <w:rFonts w:eastAsia="仿宋_GB2312"/>
          <w:spacing w:val="-2"/>
          <w:sz w:val="32"/>
          <w:szCs w:val="32"/>
        </w:rPr>
        <w:t>发展新格局，以建设</w:t>
      </w:r>
      <w:r w:rsidRPr="0013481E">
        <w:rPr>
          <w:rFonts w:eastAsia="仿宋_GB2312"/>
          <w:spacing w:val="-2"/>
          <w:sz w:val="32"/>
          <w:szCs w:val="32"/>
        </w:rPr>
        <w:t>“</w:t>
      </w:r>
      <w:r w:rsidRPr="0013481E">
        <w:rPr>
          <w:rFonts w:eastAsia="仿宋_GB2312"/>
          <w:spacing w:val="-2"/>
          <w:sz w:val="32"/>
          <w:szCs w:val="32"/>
        </w:rPr>
        <w:t>世界寿乡</w:t>
      </w:r>
      <w:r w:rsidRPr="0013481E">
        <w:rPr>
          <w:rFonts w:eastAsia="仿宋_GB2312"/>
          <w:spacing w:val="-2"/>
          <w:sz w:val="32"/>
          <w:szCs w:val="32"/>
        </w:rPr>
        <w:t>·</w:t>
      </w:r>
      <w:r w:rsidRPr="0013481E">
        <w:rPr>
          <w:rFonts w:eastAsia="仿宋_GB2312"/>
          <w:spacing w:val="-2"/>
          <w:sz w:val="32"/>
          <w:szCs w:val="32"/>
        </w:rPr>
        <w:t>富美蕉岭</w:t>
      </w:r>
      <w:r w:rsidRPr="0013481E">
        <w:rPr>
          <w:rFonts w:eastAsia="仿宋_GB2312"/>
          <w:spacing w:val="-2"/>
          <w:sz w:val="32"/>
          <w:szCs w:val="32"/>
        </w:rPr>
        <w:t>”</w:t>
      </w:r>
      <w:r w:rsidRPr="0013481E">
        <w:rPr>
          <w:rFonts w:eastAsia="仿宋_GB2312"/>
          <w:spacing w:val="-2"/>
          <w:sz w:val="32"/>
          <w:szCs w:val="32"/>
        </w:rPr>
        <w:t>为目标，坚持稳中求进总基调，坚持新发展理念，坚持高质量发展，采取强有力措施，狠抓工作落实，推动全县经济运行稳中向好，结构不断优化，质量效益明显提高，人民生活水平不断提高，实现了高质量健康发展。</w:t>
      </w:r>
    </w:p>
    <w:p w:rsidR="00FA3E3F" w:rsidRPr="0013481E" w:rsidRDefault="00FA3E3F" w:rsidP="00554432">
      <w:pPr>
        <w:spacing w:beforeLines="50" w:afterLines="50" w:line="540" w:lineRule="exact"/>
        <w:ind w:left="0" w:firstLineChars="200" w:firstLine="640"/>
        <w:rPr>
          <w:rFonts w:eastAsia="黑体"/>
          <w:sz w:val="32"/>
          <w:szCs w:val="32"/>
        </w:rPr>
      </w:pPr>
      <w:r w:rsidRPr="0013481E">
        <w:rPr>
          <w:rFonts w:eastAsia="黑体" w:hAnsi="黑体"/>
          <w:sz w:val="32"/>
          <w:szCs w:val="32"/>
        </w:rPr>
        <w:t>一、综</w:t>
      </w:r>
      <w:r w:rsidR="004D7060" w:rsidRPr="0013481E">
        <w:rPr>
          <w:rFonts w:eastAsia="黑体"/>
          <w:sz w:val="32"/>
          <w:szCs w:val="32"/>
        </w:rPr>
        <w:t xml:space="preserve"> </w:t>
      </w:r>
      <w:r w:rsidRPr="0013481E">
        <w:rPr>
          <w:rFonts w:eastAsia="黑体" w:hAnsi="黑体"/>
          <w:sz w:val="32"/>
          <w:szCs w:val="32"/>
        </w:rPr>
        <w:t>合</w:t>
      </w:r>
    </w:p>
    <w:p w:rsidR="00AC10C5" w:rsidRPr="0013481E" w:rsidRDefault="00357C61" w:rsidP="00554432">
      <w:pPr>
        <w:spacing w:beforeLines="50" w:afterLines="50" w:line="540" w:lineRule="exact"/>
        <w:ind w:left="0" w:firstLineChars="200" w:firstLine="632"/>
        <w:rPr>
          <w:rFonts w:eastAsia="仿宋_GB2312"/>
          <w:spacing w:val="-2"/>
          <w:sz w:val="32"/>
          <w:szCs w:val="32"/>
        </w:rPr>
      </w:pPr>
      <w:r w:rsidRPr="0013481E">
        <w:rPr>
          <w:rFonts w:eastAsia="仿宋_GB2312"/>
          <w:spacing w:val="-2"/>
          <w:sz w:val="32"/>
          <w:szCs w:val="32"/>
        </w:rPr>
        <w:t>年末常住人口</w:t>
      </w:r>
      <w:r w:rsidRPr="0013481E">
        <w:rPr>
          <w:rFonts w:eastAsia="仿宋_GB2312"/>
          <w:spacing w:val="-2"/>
          <w:sz w:val="32"/>
          <w:szCs w:val="32"/>
        </w:rPr>
        <w:t>21.</w:t>
      </w:r>
      <w:r w:rsidR="001E011E" w:rsidRPr="0013481E">
        <w:rPr>
          <w:rFonts w:eastAsia="仿宋_GB2312"/>
          <w:spacing w:val="-2"/>
          <w:sz w:val="32"/>
          <w:szCs w:val="32"/>
        </w:rPr>
        <w:t>13</w:t>
      </w:r>
      <w:r w:rsidRPr="0013481E">
        <w:rPr>
          <w:rFonts w:eastAsia="仿宋_GB2312"/>
          <w:spacing w:val="-2"/>
          <w:sz w:val="32"/>
          <w:szCs w:val="32"/>
        </w:rPr>
        <w:t>万人，其中城镇人口</w:t>
      </w:r>
      <w:r w:rsidRPr="0013481E">
        <w:rPr>
          <w:rFonts w:eastAsia="仿宋_GB2312"/>
          <w:spacing w:val="-2"/>
          <w:sz w:val="32"/>
          <w:szCs w:val="32"/>
        </w:rPr>
        <w:t>11.</w:t>
      </w:r>
      <w:r w:rsidR="001E011E" w:rsidRPr="0013481E">
        <w:rPr>
          <w:rFonts w:eastAsia="仿宋_GB2312"/>
          <w:spacing w:val="-2"/>
          <w:sz w:val="32"/>
          <w:szCs w:val="32"/>
        </w:rPr>
        <w:t>30</w:t>
      </w:r>
      <w:r w:rsidRPr="0013481E">
        <w:rPr>
          <w:rFonts w:eastAsia="仿宋_GB2312"/>
          <w:spacing w:val="-2"/>
          <w:sz w:val="32"/>
          <w:szCs w:val="32"/>
        </w:rPr>
        <w:t>万人，城镇人口占常住人口的比重为</w:t>
      </w:r>
      <w:r w:rsidRPr="0013481E">
        <w:rPr>
          <w:rFonts w:eastAsia="仿宋_GB2312"/>
          <w:spacing w:val="-2"/>
          <w:sz w:val="32"/>
          <w:szCs w:val="32"/>
        </w:rPr>
        <w:t>5</w:t>
      </w:r>
      <w:r w:rsidR="001E011E" w:rsidRPr="0013481E">
        <w:rPr>
          <w:rFonts w:eastAsia="仿宋_GB2312"/>
          <w:spacing w:val="-2"/>
          <w:sz w:val="32"/>
          <w:szCs w:val="32"/>
        </w:rPr>
        <w:t>3.48</w:t>
      </w:r>
      <w:r w:rsidRPr="0013481E">
        <w:rPr>
          <w:rFonts w:eastAsia="仿宋_GB2312"/>
          <w:spacing w:val="-2"/>
          <w:sz w:val="32"/>
          <w:szCs w:val="32"/>
        </w:rPr>
        <w:t>%</w:t>
      </w:r>
      <w:r w:rsidRPr="0013481E">
        <w:rPr>
          <w:rFonts w:eastAsia="仿宋_GB2312"/>
          <w:spacing w:val="-2"/>
          <w:sz w:val="32"/>
          <w:szCs w:val="32"/>
        </w:rPr>
        <w:t>。</w:t>
      </w:r>
      <w:r w:rsidR="00E162CC" w:rsidRPr="0013481E">
        <w:rPr>
          <w:rFonts w:eastAsia="仿宋_GB2312"/>
          <w:spacing w:val="-2"/>
          <w:sz w:val="32"/>
          <w:szCs w:val="32"/>
        </w:rPr>
        <w:t>年末户籍人口</w:t>
      </w:r>
      <w:r w:rsidR="00E162CC" w:rsidRPr="0013481E">
        <w:rPr>
          <w:rFonts w:eastAsia="仿宋_GB2312"/>
          <w:spacing w:val="-2"/>
          <w:sz w:val="32"/>
          <w:szCs w:val="32"/>
        </w:rPr>
        <w:t>23.74</w:t>
      </w:r>
      <w:r w:rsidR="00E162CC" w:rsidRPr="0013481E">
        <w:rPr>
          <w:rFonts w:eastAsia="仿宋_GB2312"/>
          <w:spacing w:val="-2"/>
          <w:sz w:val="32"/>
          <w:szCs w:val="32"/>
        </w:rPr>
        <w:t>万人，比上年增加</w:t>
      </w:r>
      <w:r w:rsidR="00E162CC" w:rsidRPr="0013481E">
        <w:rPr>
          <w:rFonts w:eastAsia="仿宋_GB2312"/>
          <w:spacing w:val="-2"/>
          <w:sz w:val="32"/>
          <w:szCs w:val="32"/>
        </w:rPr>
        <w:t>307</w:t>
      </w:r>
      <w:r w:rsidR="00E162CC" w:rsidRPr="0013481E">
        <w:rPr>
          <w:rFonts w:eastAsia="仿宋_GB2312"/>
          <w:spacing w:val="-2"/>
          <w:sz w:val="32"/>
          <w:szCs w:val="32"/>
        </w:rPr>
        <w:t>人，增长</w:t>
      </w:r>
      <w:r w:rsidR="00E162CC" w:rsidRPr="0013481E">
        <w:rPr>
          <w:rFonts w:eastAsia="仿宋_GB2312"/>
          <w:spacing w:val="-2"/>
          <w:sz w:val="32"/>
          <w:szCs w:val="32"/>
        </w:rPr>
        <w:t>0.13%</w:t>
      </w:r>
      <w:r w:rsidR="00E162CC" w:rsidRPr="0013481E">
        <w:rPr>
          <w:rFonts w:eastAsia="仿宋_GB2312"/>
          <w:spacing w:val="-2"/>
          <w:sz w:val="32"/>
          <w:szCs w:val="32"/>
        </w:rPr>
        <w:t>。</w:t>
      </w:r>
      <w:r w:rsidR="001D05E0" w:rsidRPr="0013481E">
        <w:rPr>
          <w:rFonts w:eastAsia="仿宋_GB2312"/>
          <w:spacing w:val="-2"/>
          <w:sz w:val="32"/>
          <w:szCs w:val="32"/>
        </w:rPr>
        <w:t>全年出生人口</w:t>
      </w:r>
      <w:r w:rsidR="001D05E0" w:rsidRPr="0013481E">
        <w:rPr>
          <w:rFonts w:eastAsia="仿宋_GB2312"/>
          <w:spacing w:val="-2"/>
          <w:sz w:val="32"/>
          <w:szCs w:val="32"/>
        </w:rPr>
        <w:t>35</w:t>
      </w:r>
      <w:r w:rsidR="00A16D22" w:rsidRPr="0013481E">
        <w:rPr>
          <w:rFonts w:eastAsia="仿宋_GB2312"/>
          <w:spacing w:val="-2"/>
          <w:sz w:val="32"/>
          <w:szCs w:val="32"/>
        </w:rPr>
        <w:t>00</w:t>
      </w:r>
      <w:r w:rsidR="001D05E0" w:rsidRPr="0013481E">
        <w:rPr>
          <w:rFonts w:eastAsia="仿宋_GB2312"/>
          <w:spacing w:val="-2"/>
          <w:sz w:val="32"/>
          <w:szCs w:val="32"/>
        </w:rPr>
        <w:t>人，</w:t>
      </w:r>
      <w:r w:rsidRPr="0013481E">
        <w:rPr>
          <w:rFonts w:eastAsia="仿宋_GB2312"/>
          <w:spacing w:val="-2"/>
          <w:sz w:val="32"/>
          <w:szCs w:val="32"/>
        </w:rPr>
        <w:t>出生率</w:t>
      </w:r>
      <w:r w:rsidRPr="0013481E">
        <w:rPr>
          <w:rFonts w:eastAsia="仿宋_GB2312"/>
          <w:spacing w:val="-2"/>
          <w:sz w:val="32"/>
          <w:szCs w:val="32"/>
        </w:rPr>
        <w:t>1</w:t>
      </w:r>
      <w:r w:rsidR="005D4C15" w:rsidRPr="0013481E">
        <w:rPr>
          <w:rFonts w:eastAsia="仿宋_GB2312"/>
          <w:spacing w:val="-2"/>
          <w:sz w:val="32"/>
          <w:szCs w:val="32"/>
        </w:rPr>
        <w:t>4.75</w:t>
      </w:r>
      <w:r w:rsidRPr="0013481E">
        <w:rPr>
          <w:rFonts w:eastAsia="仿宋_GB2312"/>
          <w:spacing w:val="-2"/>
          <w:sz w:val="32"/>
          <w:szCs w:val="32"/>
        </w:rPr>
        <w:t>‰</w:t>
      </w:r>
      <w:r w:rsidR="001D05E0" w:rsidRPr="0013481E">
        <w:rPr>
          <w:rFonts w:eastAsia="仿宋_GB2312"/>
          <w:spacing w:val="-2"/>
          <w:sz w:val="32"/>
          <w:szCs w:val="32"/>
        </w:rPr>
        <w:t>；死亡人口</w:t>
      </w:r>
      <w:r w:rsidR="005D4C15" w:rsidRPr="0013481E">
        <w:rPr>
          <w:rFonts w:eastAsia="仿宋_GB2312"/>
          <w:spacing w:val="-2"/>
          <w:sz w:val="32"/>
          <w:szCs w:val="32"/>
        </w:rPr>
        <w:t>2551</w:t>
      </w:r>
      <w:r w:rsidR="001D05E0" w:rsidRPr="0013481E">
        <w:rPr>
          <w:rFonts w:eastAsia="仿宋_GB2312"/>
          <w:spacing w:val="-2"/>
          <w:sz w:val="32"/>
          <w:szCs w:val="32"/>
        </w:rPr>
        <w:t>人，</w:t>
      </w:r>
      <w:r w:rsidRPr="0013481E">
        <w:rPr>
          <w:rFonts w:eastAsia="仿宋_GB2312"/>
          <w:spacing w:val="-2"/>
          <w:sz w:val="32"/>
          <w:szCs w:val="32"/>
        </w:rPr>
        <w:t>死亡率</w:t>
      </w:r>
      <w:r w:rsidR="005D4C15" w:rsidRPr="0013481E">
        <w:rPr>
          <w:rFonts w:eastAsia="仿宋_GB2312"/>
          <w:spacing w:val="-2"/>
          <w:sz w:val="32"/>
          <w:szCs w:val="32"/>
        </w:rPr>
        <w:t>10.75</w:t>
      </w:r>
      <w:r w:rsidRPr="0013481E">
        <w:rPr>
          <w:rFonts w:eastAsia="仿宋_GB2312"/>
          <w:spacing w:val="-2"/>
          <w:sz w:val="32"/>
          <w:szCs w:val="32"/>
        </w:rPr>
        <w:t>‰</w:t>
      </w:r>
      <w:r w:rsidR="001D05E0" w:rsidRPr="0013481E">
        <w:rPr>
          <w:rFonts w:eastAsia="仿宋_GB2312"/>
          <w:spacing w:val="-2"/>
          <w:sz w:val="32"/>
          <w:szCs w:val="32"/>
        </w:rPr>
        <w:t>；自然增长</w:t>
      </w:r>
      <w:r w:rsidRPr="0013481E">
        <w:rPr>
          <w:rFonts w:eastAsia="仿宋_GB2312"/>
          <w:spacing w:val="-2"/>
          <w:sz w:val="32"/>
          <w:szCs w:val="32"/>
        </w:rPr>
        <w:t>人口</w:t>
      </w:r>
      <w:r w:rsidR="005D4C15" w:rsidRPr="0013481E">
        <w:rPr>
          <w:rFonts w:eastAsia="仿宋_GB2312"/>
          <w:spacing w:val="-2"/>
          <w:sz w:val="32"/>
          <w:szCs w:val="32"/>
        </w:rPr>
        <w:t>949</w:t>
      </w:r>
      <w:r w:rsidR="001D05E0" w:rsidRPr="0013481E">
        <w:rPr>
          <w:rFonts w:eastAsia="仿宋_GB2312"/>
          <w:spacing w:val="-2"/>
          <w:sz w:val="32"/>
          <w:szCs w:val="32"/>
        </w:rPr>
        <w:t>人，</w:t>
      </w:r>
      <w:r w:rsidRPr="0013481E">
        <w:rPr>
          <w:rFonts w:eastAsia="仿宋_GB2312"/>
          <w:spacing w:val="-2"/>
          <w:sz w:val="32"/>
          <w:szCs w:val="32"/>
        </w:rPr>
        <w:t>自然增长率</w:t>
      </w:r>
      <w:r w:rsidR="005D4C15" w:rsidRPr="0013481E">
        <w:rPr>
          <w:rFonts w:eastAsia="仿宋_GB2312"/>
          <w:spacing w:val="-2"/>
          <w:sz w:val="32"/>
          <w:szCs w:val="32"/>
        </w:rPr>
        <w:t>4.0</w:t>
      </w:r>
      <w:r w:rsidRPr="0013481E">
        <w:rPr>
          <w:rFonts w:eastAsia="仿宋_GB2312"/>
          <w:spacing w:val="-2"/>
          <w:sz w:val="32"/>
          <w:szCs w:val="32"/>
        </w:rPr>
        <w:t>‰</w:t>
      </w:r>
      <w:r w:rsidRPr="0013481E">
        <w:rPr>
          <w:rFonts w:eastAsia="仿宋_GB2312"/>
          <w:spacing w:val="-2"/>
          <w:sz w:val="32"/>
          <w:szCs w:val="32"/>
        </w:rPr>
        <w:t>。</w:t>
      </w:r>
    </w:p>
    <w:p w:rsidR="00923505" w:rsidRPr="0013481E" w:rsidRDefault="00AC10C5" w:rsidP="00554432">
      <w:pPr>
        <w:spacing w:beforeLines="50" w:afterLines="50" w:line="540" w:lineRule="exact"/>
        <w:ind w:left="0" w:firstLineChars="200" w:firstLine="632"/>
        <w:rPr>
          <w:rFonts w:eastAsia="仿宋_GB2312"/>
          <w:spacing w:val="-2"/>
          <w:sz w:val="32"/>
          <w:szCs w:val="32"/>
        </w:rPr>
      </w:pPr>
      <w:r w:rsidRPr="0013481E">
        <w:rPr>
          <w:rFonts w:eastAsia="仿宋_GB2312"/>
          <w:spacing w:val="-2"/>
          <w:sz w:val="32"/>
          <w:szCs w:val="32"/>
        </w:rPr>
        <w:t>初步核算，</w:t>
      </w:r>
      <w:r w:rsidRPr="0013481E">
        <w:rPr>
          <w:rFonts w:eastAsia="仿宋_GB2312"/>
          <w:spacing w:val="-2"/>
          <w:sz w:val="32"/>
          <w:szCs w:val="32"/>
        </w:rPr>
        <w:t>2017</w:t>
      </w:r>
      <w:r w:rsidRPr="0013481E">
        <w:rPr>
          <w:rFonts w:eastAsia="仿宋_GB2312"/>
          <w:spacing w:val="-2"/>
          <w:sz w:val="32"/>
          <w:szCs w:val="32"/>
        </w:rPr>
        <w:t>年全县实现生产总值</w:t>
      </w:r>
      <w:r w:rsidRPr="0013481E">
        <w:rPr>
          <w:rFonts w:eastAsia="仿宋_GB2312"/>
          <w:spacing w:val="-2"/>
          <w:sz w:val="32"/>
          <w:szCs w:val="32"/>
        </w:rPr>
        <w:t>793846</w:t>
      </w:r>
      <w:r w:rsidRPr="0013481E">
        <w:rPr>
          <w:rFonts w:eastAsia="仿宋_GB2312"/>
          <w:spacing w:val="-2"/>
          <w:sz w:val="32"/>
          <w:szCs w:val="32"/>
        </w:rPr>
        <w:t>万元，同比增长</w:t>
      </w:r>
      <w:r w:rsidRPr="0013481E">
        <w:rPr>
          <w:rFonts w:eastAsia="仿宋_GB2312"/>
          <w:spacing w:val="-2"/>
          <w:sz w:val="32"/>
          <w:szCs w:val="32"/>
        </w:rPr>
        <w:t>7.5%</w:t>
      </w:r>
      <w:r w:rsidRPr="0013481E">
        <w:rPr>
          <w:rFonts w:eastAsia="仿宋_GB2312"/>
          <w:spacing w:val="-2"/>
          <w:sz w:val="32"/>
          <w:szCs w:val="32"/>
        </w:rPr>
        <w:t>，居全市第</w:t>
      </w:r>
      <w:r w:rsidRPr="0013481E">
        <w:rPr>
          <w:rFonts w:eastAsia="仿宋_GB2312"/>
          <w:spacing w:val="-2"/>
          <w:sz w:val="32"/>
          <w:szCs w:val="32"/>
        </w:rPr>
        <w:t>1</w:t>
      </w:r>
      <w:r w:rsidRPr="0013481E">
        <w:rPr>
          <w:rFonts w:eastAsia="仿宋_GB2312"/>
          <w:spacing w:val="-2"/>
          <w:sz w:val="32"/>
          <w:szCs w:val="32"/>
        </w:rPr>
        <w:t>位，增速比上年同期加快</w:t>
      </w:r>
      <w:r w:rsidRPr="0013481E">
        <w:rPr>
          <w:rFonts w:eastAsia="仿宋_GB2312"/>
          <w:spacing w:val="-2"/>
          <w:sz w:val="32"/>
          <w:szCs w:val="32"/>
        </w:rPr>
        <w:t>1.4</w:t>
      </w:r>
      <w:r w:rsidRPr="0013481E">
        <w:rPr>
          <w:rFonts w:eastAsia="仿宋_GB2312"/>
          <w:spacing w:val="-2"/>
          <w:sz w:val="32"/>
          <w:szCs w:val="32"/>
        </w:rPr>
        <w:t>个百分点。其中第一产业增加值</w:t>
      </w:r>
      <w:r w:rsidRPr="0013481E">
        <w:rPr>
          <w:rFonts w:eastAsia="仿宋_GB2312"/>
          <w:spacing w:val="-2"/>
          <w:sz w:val="32"/>
          <w:szCs w:val="32"/>
        </w:rPr>
        <w:t>125912</w:t>
      </w:r>
      <w:r w:rsidRPr="0013481E">
        <w:rPr>
          <w:rFonts w:eastAsia="仿宋_GB2312"/>
          <w:spacing w:val="-2"/>
          <w:sz w:val="32"/>
          <w:szCs w:val="32"/>
        </w:rPr>
        <w:t>万元，同比增长</w:t>
      </w:r>
      <w:r w:rsidRPr="0013481E">
        <w:rPr>
          <w:rFonts w:eastAsia="仿宋_GB2312"/>
          <w:spacing w:val="-2"/>
          <w:sz w:val="32"/>
          <w:szCs w:val="32"/>
        </w:rPr>
        <w:t>3.9</w:t>
      </w:r>
      <w:r w:rsidRPr="0013481E">
        <w:rPr>
          <w:rFonts w:eastAsia="仿宋_GB2312"/>
          <w:spacing w:val="-2"/>
          <w:sz w:val="32"/>
          <w:szCs w:val="32"/>
        </w:rPr>
        <w:t>％，拉动</w:t>
      </w:r>
      <w:r w:rsidRPr="0013481E">
        <w:rPr>
          <w:rFonts w:eastAsia="仿宋_GB2312"/>
          <w:spacing w:val="-2"/>
          <w:sz w:val="32"/>
          <w:szCs w:val="32"/>
        </w:rPr>
        <w:t>GDP</w:t>
      </w:r>
      <w:r w:rsidRPr="0013481E">
        <w:rPr>
          <w:rFonts w:eastAsia="仿宋_GB2312"/>
          <w:spacing w:val="-2"/>
          <w:sz w:val="32"/>
          <w:szCs w:val="32"/>
        </w:rPr>
        <w:t>增长</w:t>
      </w:r>
      <w:r w:rsidRPr="0013481E">
        <w:rPr>
          <w:rFonts w:eastAsia="仿宋_GB2312"/>
          <w:spacing w:val="-2"/>
          <w:sz w:val="32"/>
          <w:szCs w:val="32"/>
        </w:rPr>
        <w:t>0.6</w:t>
      </w:r>
      <w:r w:rsidRPr="0013481E">
        <w:rPr>
          <w:rFonts w:eastAsia="仿宋_GB2312"/>
          <w:spacing w:val="-2"/>
          <w:sz w:val="32"/>
          <w:szCs w:val="32"/>
        </w:rPr>
        <w:t>个百分点；第二产业增加值</w:t>
      </w:r>
      <w:r w:rsidRPr="0013481E">
        <w:rPr>
          <w:rFonts w:eastAsia="仿宋_GB2312"/>
          <w:spacing w:val="-2"/>
          <w:sz w:val="32"/>
          <w:szCs w:val="32"/>
        </w:rPr>
        <w:t>227628</w:t>
      </w:r>
      <w:r w:rsidRPr="0013481E">
        <w:rPr>
          <w:rFonts w:eastAsia="仿宋_GB2312"/>
          <w:spacing w:val="-2"/>
          <w:sz w:val="32"/>
          <w:szCs w:val="32"/>
        </w:rPr>
        <w:t>万元，同比增长</w:t>
      </w:r>
      <w:r w:rsidRPr="0013481E">
        <w:rPr>
          <w:rFonts w:eastAsia="仿宋_GB2312"/>
          <w:spacing w:val="-2"/>
          <w:sz w:val="32"/>
          <w:szCs w:val="32"/>
        </w:rPr>
        <w:t>6.7</w:t>
      </w:r>
      <w:r w:rsidRPr="0013481E">
        <w:rPr>
          <w:rFonts w:eastAsia="仿宋_GB2312"/>
          <w:spacing w:val="-2"/>
          <w:sz w:val="32"/>
          <w:szCs w:val="32"/>
        </w:rPr>
        <w:t>％，拉动</w:t>
      </w:r>
      <w:r w:rsidRPr="0013481E">
        <w:rPr>
          <w:rFonts w:eastAsia="仿宋_GB2312"/>
          <w:spacing w:val="-2"/>
          <w:sz w:val="32"/>
          <w:szCs w:val="32"/>
        </w:rPr>
        <w:t>GDP</w:t>
      </w:r>
      <w:r w:rsidRPr="0013481E">
        <w:rPr>
          <w:rFonts w:eastAsia="仿宋_GB2312"/>
          <w:spacing w:val="-2"/>
          <w:sz w:val="32"/>
          <w:szCs w:val="32"/>
        </w:rPr>
        <w:t>增长</w:t>
      </w:r>
      <w:r w:rsidRPr="0013481E">
        <w:rPr>
          <w:rFonts w:eastAsia="仿宋_GB2312"/>
          <w:spacing w:val="-2"/>
          <w:sz w:val="32"/>
          <w:szCs w:val="32"/>
        </w:rPr>
        <w:t>2.1</w:t>
      </w:r>
      <w:r w:rsidRPr="0013481E">
        <w:rPr>
          <w:rFonts w:eastAsia="仿宋_GB2312"/>
          <w:spacing w:val="-2"/>
          <w:sz w:val="32"/>
          <w:szCs w:val="32"/>
        </w:rPr>
        <w:t>个百分点；其中工业增长</w:t>
      </w:r>
      <w:r w:rsidRPr="0013481E">
        <w:rPr>
          <w:rFonts w:eastAsia="仿宋_GB2312"/>
          <w:spacing w:val="-2"/>
          <w:sz w:val="32"/>
          <w:szCs w:val="32"/>
        </w:rPr>
        <w:t>5.9</w:t>
      </w:r>
      <w:r w:rsidRPr="0013481E">
        <w:rPr>
          <w:rFonts w:eastAsia="仿宋_GB2312"/>
          <w:spacing w:val="-2"/>
          <w:sz w:val="32"/>
          <w:szCs w:val="32"/>
        </w:rPr>
        <w:t>％，拉动</w:t>
      </w:r>
      <w:r w:rsidRPr="0013481E">
        <w:rPr>
          <w:rFonts w:eastAsia="仿宋_GB2312"/>
          <w:spacing w:val="-2"/>
          <w:sz w:val="32"/>
          <w:szCs w:val="32"/>
        </w:rPr>
        <w:t>GDP</w:t>
      </w:r>
      <w:r w:rsidRPr="0013481E">
        <w:rPr>
          <w:rFonts w:eastAsia="仿宋_GB2312"/>
          <w:spacing w:val="-2"/>
          <w:sz w:val="32"/>
          <w:szCs w:val="32"/>
        </w:rPr>
        <w:t>增长</w:t>
      </w:r>
      <w:r w:rsidRPr="0013481E">
        <w:rPr>
          <w:rFonts w:eastAsia="仿宋_GB2312"/>
          <w:spacing w:val="-2"/>
          <w:sz w:val="32"/>
          <w:szCs w:val="32"/>
        </w:rPr>
        <w:t>1.6</w:t>
      </w:r>
      <w:r w:rsidRPr="0013481E">
        <w:rPr>
          <w:rFonts w:eastAsia="仿宋_GB2312"/>
          <w:spacing w:val="-2"/>
          <w:sz w:val="32"/>
          <w:szCs w:val="32"/>
        </w:rPr>
        <w:lastRenderedPageBreak/>
        <w:t>个百分点；</w:t>
      </w:r>
      <w:r w:rsidR="00567D96" w:rsidRPr="0013481E">
        <w:rPr>
          <w:rFonts w:eastAsia="仿宋_GB2312"/>
          <w:noProof/>
          <w:spacing w:val="-2"/>
          <w:sz w:val="32"/>
          <w:szCs w:val="32"/>
        </w:rPr>
        <w:drawing>
          <wp:anchor distT="0" distB="0" distL="114300" distR="114300" simplePos="0" relativeHeight="251663360" behindDoc="0" locked="0" layoutInCell="1" allowOverlap="1">
            <wp:simplePos x="0" y="0"/>
            <wp:positionH relativeFrom="margin">
              <wp:align>center</wp:align>
            </wp:positionH>
            <wp:positionV relativeFrom="paragraph">
              <wp:posOffset>4924425</wp:posOffset>
            </wp:positionV>
            <wp:extent cx="5953125" cy="3676650"/>
            <wp:effectExtent l="0" t="0" r="0"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67D96" w:rsidRPr="0013481E">
        <w:rPr>
          <w:rFonts w:eastAsia="仿宋_GB2312"/>
          <w:noProof/>
          <w:spacing w:val="-2"/>
          <w:sz w:val="32"/>
          <w:szCs w:val="32"/>
        </w:rPr>
        <w:drawing>
          <wp:anchor distT="0" distB="0" distL="114300" distR="114300" simplePos="0" relativeHeight="251654144" behindDoc="0" locked="0" layoutInCell="1" allowOverlap="1">
            <wp:simplePos x="0" y="0"/>
            <wp:positionH relativeFrom="margin">
              <wp:align>center</wp:align>
            </wp:positionH>
            <wp:positionV relativeFrom="paragraph">
              <wp:posOffset>1551940</wp:posOffset>
            </wp:positionV>
            <wp:extent cx="5591175" cy="3248025"/>
            <wp:effectExtent l="0" t="0" r="0" b="0"/>
            <wp:wrapTopAndBottom/>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A3E3F" w:rsidRPr="0013481E">
        <w:rPr>
          <w:rFonts w:eastAsia="仿宋_GB2312"/>
          <w:spacing w:val="-2"/>
          <w:sz w:val="32"/>
          <w:szCs w:val="32"/>
        </w:rPr>
        <w:t>第三产业增加值</w:t>
      </w:r>
      <w:r w:rsidR="00245A8E" w:rsidRPr="0013481E">
        <w:rPr>
          <w:rFonts w:eastAsia="仿宋_GB2312"/>
          <w:spacing w:val="-2"/>
          <w:sz w:val="32"/>
          <w:szCs w:val="32"/>
        </w:rPr>
        <w:t>440306</w:t>
      </w:r>
      <w:r w:rsidR="00FA3E3F" w:rsidRPr="0013481E">
        <w:rPr>
          <w:rFonts w:eastAsia="仿宋_GB2312"/>
          <w:spacing w:val="-2"/>
          <w:sz w:val="32"/>
          <w:szCs w:val="32"/>
        </w:rPr>
        <w:t>万元，增长</w:t>
      </w:r>
      <w:r w:rsidR="001D25CE" w:rsidRPr="0013481E">
        <w:rPr>
          <w:rFonts w:eastAsia="仿宋_GB2312"/>
          <w:spacing w:val="-2"/>
          <w:sz w:val="32"/>
          <w:szCs w:val="32"/>
        </w:rPr>
        <w:t>9.0</w:t>
      </w:r>
      <w:r w:rsidR="00FA3E3F" w:rsidRPr="0013481E">
        <w:rPr>
          <w:rFonts w:eastAsia="仿宋_GB2312"/>
          <w:spacing w:val="-2"/>
          <w:sz w:val="32"/>
          <w:szCs w:val="32"/>
        </w:rPr>
        <w:t>%</w:t>
      </w:r>
      <w:r w:rsidR="006F66DD" w:rsidRPr="0013481E">
        <w:rPr>
          <w:rFonts w:eastAsia="仿宋_GB2312"/>
          <w:spacing w:val="-2"/>
          <w:sz w:val="32"/>
          <w:szCs w:val="32"/>
        </w:rPr>
        <w:t>，</w:t>
      </w:r>
      <w:r w:rsidR="00F03953" w:rsidRPr="0013481E">
        <w:rPr>
          <w:rFonts w:eastAsia="仿宋_GB2312"/>
          <w:spacing w:val="-2"/>
          <w:sz w:val="32"/>
          <w:szCs w:val="32"/>
        </w:rPr>
        <w:t>拉动</w:t>
      </w:r>
      <w:r w:rsidR="006F66DD" w:rsidRPr="0013481E">
        <w:rPr>
          <w:rFonts w:eastAsia="仿宋_GB2312"/>
          <w:spacing w:val="-2"/>
          <w:sz w:val="32"/>
          <w:szCs w:val="32"/>
        </w:rPr>
        <w:t>GDP</w:t>
      </w:r>
      <w:r w:rsidR="006F66DD" w:rsidRPr="0013481E">
        <w:rPr>
          <w:rFonts w:eastAsia="仿宋_GB2312"/>
          <w:spacing w:val="-2"/>
          <w:sz w:val="32"/>
          <w:szCs w:val="32"/>
        </w:rPr>
        <w:t>增长</w:t>
      </w:r>
      <w:r w:rsidR="00F03953" w:rsidRPr="0013481E">
        <w:rPr>
          <w:rFonts w:eastAsia="仿宋_GB2312"/>
          <w:spacing w:val="-2"/>
          <w:sz w:val="32"/>
          <w:szCs w:val="32"/>
        </w:rPr>
        <w:t>4.8</w:t>
      </w:r>
      <w:r w:rsidR="00F03953" w:rsidRPr="0013481E">
        <w:rPr>
          <w:rFonts w:eastAsia="仿宋_GB2312"/>
          <w:spacing w:val="-2"/>
          <w:sz w:val="32"/>
          <w:szCs w:val="32"/>
        </w:rPr>
        <w:t>个百分点，其中财政八项支出拉动</w:t>
      </w:r>
      <w:r w:rsidR="00F03953" w:rsidRPr="0013481E">
        <w:rPr>
          <w:rFonts w:eastAsia="仿宋_GB2312"/>
          <w:spacing w:val="-2"/>
          <w:sz w:val="32"/>
          <w:szCs w:val="32"/>
        </w:rPr>
        <w:t>GDP</w:t>
      </w:r>
      <w:r w:rsidR="00F03953" w:rsidRPr="0013481E">
        <w:rPr>
          <w:rFonts w:eastAsia="仿宋_GB2312"/>
          <w:spacing w:val="-2"/>
          <w:sz w:val="32"/>
          <w:szCs w:val="32"/>
        </w:rPr>
        <w:t>增长</w:t>
      </w:r>
      <w:r w:rsidR="00F03953" w:rsidRPr="0013481E">
        <w:rPr>
          <w:rFonts w:eastAsia="仿宋_GB2312"/>
          <w:spacing w:val="-2"/>
          <w:sz w:val="32"/>
          <w:szCs w:val="32"/>
        </w:rPr>
        <w:t>2.2</w:t>
      </w:r>
      <w:r w:rsidR="00F03953" w:rsidRPr="0013481E">
        <w:rPr>
          <w:rFonts w:eastAsia="仿宋_GB2312"/>
          <w:spacing w:val="-2"/>
          <w:sz w:val="32"/>
          <w:szCs w:val="32"/>
        </w:rPr>
        <w:t>个百分点</w:t>
      </w:r>
      <w:r w:rsidR="001A74D1" w:rsidRPr="0013481E">
        <w:rPr>
          <w:rFonts w:eastAsia="仿宋_GB2312"/>
          <w:spacing w:val="-2"/>
          <w:sz w:val="32"/>
          <w:szCs w:val="32"/>
        </w:rPr>
        <w:t>；</w:t>
      </w:r>
      <w:r w:rsidR="00597684" w:rsidRPr="0013481E">
        <w:rPr>
          <w:rFonts w:eastAsia="仿宋_GB2312"/>
          <w:spacing w:val="-2"/>
          <w:sz w:val="32"/>
          <w:szCs w:val="32"/>
        </w:rPr>
        <w:t>全年人均县</w:t>
      </w:r>
      <w:r w:rsidR="004B144F" w:rsidRPr="0013481E">
        <w:rPr>
          <w:rFonts w:eastAsia="仿宋_GB2312"/>
          <w:spacing w:val="-2"/>
          <w:sz w:val="32"/>
          <w:szCs w:val="32"/>
        </w:rPr>
        <w:t>内</w:t>
      </w:r>
      <w:r w:rsidR="00597684" w:rsidRPr="0013481E">
        <w:rPr>
          <w:rFonts w:eastAsia="仿宋_GB2312"/>
          <w:spacing w:val="-2"/>
          <w:sz w:val="32"/>
          <w:szCs w:val="32"/>
        </w:rPr>
        <w:t>生产总值</w:t>
      </w:r>
      <w:r w:rsidR="001D25CE" w:rsidRPr="0013481E">
        <w:rPr>
          <w:rFonts w:eastAsia="仿宋_GB2312"/>
          <w:spacing w:val="-2"/>
          <w:sz w:val="32"/>
          <w:szCs w:val="32"/>
        </w:rPr>
        <w:t>37614</w:t>
      </w:r>
      <w:r w:rsidR="00597684" w:rsidRPr="0013481E">
        <w:rPr>
          <w:rFonts w:eastAsia="仿宋_GB2312"/>
          <w:spacing w:val="-2"/>
          <w:sz w:val="32"/>
          <w:szCs w:val="32"/>
        </w:rPr>
        <w:t>元，</w:t>
      </w:r>
      <w:r w:rsidR="001A74D1" w:rsidRPr="0013481E">
        <w:rPr>
          <w:rFonts w:eastAsia="仿宋_GB2312"/>
          <w:spacing w:val="-2"/>
          <w:sz w:val="32"/>
          <w:szCs w:val="32"/>
        </w:rPr>
        <w:t>增长</w:t>
      </w:r>
      <w:r w:rsidR="001D25CE" w:rsidRPr="0013481E">
        <w:rPr>
          <w:rFonts w:eastAsia="仿宋_GB2312"/>
          <w:spacing w:val="-2"/>
          <w:sz w:val="32"/>
          <w:szCs w:val="32"/>
        </w:rPr>
        <w:t>7.1</w:t>
      </w:r>
      <w:r w:rsidR="001A74D1" w:rsidRPr="0013481E">
        <w:rPr>
          <w:rFonts w:eastAsia="仿宋_GB2312"/>
          <w:spacing w:val="-2"/>
          <w:sz w:val="32"/>
          <w:szCs w:val="32"/>
        </w:rPr>
        <w:t>%</w:t>
      </w:r>
      <w:r w:rsidR="001A74D1" w:rsidRPr="0013481E">
        <w:rPr>
          <w:rFonts w:eastAsia="仿宋_GB2312"/>
          <w:spacing w:val="-2"/>
          <w:sz w:val="32"/>
          <w:szCs w:val="32"/>
        </w:rPr>
        <w:t>。</w:t>
      </w:r>
      <w:r w:rsidR="00FA3E3F" w:rsidRPr="0013481E">
        <w:rPr>
          <w:rFonts w:eastAsia="仿宋_GB2312"/>
          <w:spacing w:val="-2"/>
          <w:sz w:val="32"/>
          <w:szCs w:val="32"/>
        </w:rPr>
        <w:t>经济结构进一步调整，</w:t>
      </w:r>
      <w:r w:rsidR="00F03953" w:rsidRPr="0013481E">
        <w:rPr>
          <w:rFonts w:eastAsia="仿宋_GB2312"/>
          <w:spacing w:val="-2"/>
          <w:sz w:val="32"/>
          <w:szCs w:val="32"/>
        </w:rPr>
        <w:t>由</w:t>
      </w:r>
      <w:r w:rsidR="00F03953" w:rsidRPr="0013481E">
        <w:rPr>
          <w:rFonts w:eastAsia="仿宋_GB2312"/>
          <w:spacing w:val="-2"/>
          <w:sz w:val="32"/>
          <w:szCs w:val="32"/>
        </w:rPr>
        <w:t>2016</w:t>
      </w:r>
      <w:r w:rsidR="00F03953" w:rsidRPr="0013481E">
        <w:rPr>
          <w:rFonts w:eastAsia="仿宋_GB2312"/>
          <w:spacing w:val="-2"/>
          <w:sz w:val="32"/>
          <w:szCs w:val="32"/>
        </w:rPr>
        <w:t>年的</w:t>
      </w:r>
      <w:r w:rsidR="00F03953" w:rsidRPr="0013481E">
        <w:rPr>
          <w:rFonts w:eastAsia="仿宋_GB2312"/>
          <w:spacing w:val="-2"/>
          <w:sz w:val="32"/>
          <w:szCs w:val="32"/>
        </w:rPr>
        <w:t>17.0:29.8:53.2</w:t>
      </w:r>
      <w:r w:rsidR="00F03953" w:rsidRPr="0013481E">
        <w:rPr>
          <w:rFonts w:eastAsia="仿宋_GB2312"/>
          <w:spacing w:val="-2"/>
          <w:sz w:val="32"/>
          <w:szCs w:val="32"/>
        </w:rPr>
        <w:t>调整为</w:t>
      </w:r>
      <w:r w:rsidR="00F03953" w:rsidRPr="0013481E">
        <w:rPr>
          <w:rFonts w:eastAsia="仿宋_GB2312"/>
          <w:spacing w:val="-2"/>
          <w:sz w:val="32"/>
          <w:szCs w:val="32"/>
        </w:rPr>
        <w:t>15.9:28.7:55.4</w:t>
      </w:r>
      <w:r w:rsidR="00F03953" w:rsidRPr="0013481E">
        <w:rPr>
          <w:rFonts w:eastAsia="仿宋_GB2312"/>
          <w:spacing w:val="-2"/>
          <w:sz w:val="32"/>
          <w:szCs w:val="32"/>
        </w:rPr>
        <w:t>，</w:t>
      </w:r>
    </w:p>
    <w:p w:rsidR="001A74D1" w:rsidRPr="0013481E" w:rsidRDefault="00F03953" w:rsidP="00554432">
      <w:pPr>
        <w:spacing w:beforeLines="50" w:afterLines="50" w:line="540" w:lineRule="exact"/>
        <w:rPr>
          <w:rFonts w:eastAsia="仿宋_GB2312"/>
          <w:spacing w:val="-2"/>
          <w:sz w:val="32"/>
          <w:szCs w:val="32"/>
        </w:rPr>
      </w:pPr>
      <w:r w:rsidRPr="0013481E">
        <w:rPr>
          <w:rFonts w:eastAsia="仿宋_GB2312"/>
          <w:spacing w:val="-2"/>
          <w:sz w:val="32"/>
          <w:szCs w:val="32"/>
        </w:rPr>
        <w:lastRenderedPageBreak/>
        <w:t>第三产业所占比重比上年提高</w:t>
      </w:r>
      <w:r w:rsidRPr="0013481E">
        <w:rPr>
          <w:rFonts w:eastAsia="仿宋_GB2312"/>
          <w:spacing w:val="-2"/>
          <w:sz w:val="32"/>
          <w:szCs w:val="32"/>
        </w:rPr>
        <w:t>2.2</w:t>
      </w:r>
      <w:r w:rsidRPr="0013481E">
        <w:rPr>
          <w:rFonts w:eastAsia="仿宋_GB2312"/>
          <w:spacing w:val="-2"/>
          <w:sz w:val="32"/>
          <w:szCs w:val="32"/>
        </w:rPr>
        <w:t>个百分点</w:t>
      </w:r>
      <w:r w:rsidR="00FA3E3F" w:rsidRPr="0013481E">
        <w:rPr>
          <w:rFonts w:eastAsia="仿宋_GB2312"/>
          <w:spacing w:val="-2"/>
          <w:sz w:val="32"/>
          <w:szCs w:val="32"/>
        </w:rPr>
        <w:t>。</w:t>
      </w:r>
    </w:p>
    <w:p w:rsidR="00E92542" w:rsidRPr="0013481E" w:rsidRDefault="009E626F" w:rsidP="00554432">
      <w:pPr>
        <w:spacing w:beforeLines="50" w:afterLines="50" w:line="540" w:lineRule="exact"/>
        <w:ind w:left="0" w:firstLineChars="200" w:firstLine="643"/>
        <w:rPr>
          <w:rFonts w:eastAsia="仿宋_GB2312"/>
          <w:sz w:val="32"/>
          <w:szCs w:val="32"/>
        </w:rPr>
      </w:pPr>
      <w:r w:rsidRPr="0013481E">
        <w:rPr>
          <w:rFonts w:eastAsia="仿宋_GB2312"/>
          <w:b/>
          <w:noProof/>
          <w:sz w:val="32"/>
          <w:szCs w:val="32"/>
        </w:rPr>
        <w:drawing>
          <wp:anchor distT="0" distB="0" distL="114300" distR="114300" simplePos="0" relativeHeight="251674624" behindDoc="0" locked="0" layoutInCell="1" allowOverlap="1">
            <wp:simplePos x="0" y="0"/>
            <wp:positionH relativeFrom="margin">
              <wp:posOffset>176530</wp:posOffset>
            </wp:positionH>
            <wp:positionV relativeFrom="paragraph">
              <wp:posOffset>2314575</wp:posOffset>
            </wp:positionV>
            <wp:extent cx="5591175" cy="3248025"/>
            <wp:effectExtent l="0" t="0" r="0" b="0"/>
            <wp:wrapTopAndBottom/>
            <wp:docPr id="4"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F382A" w:rsidRPr="0013481E">
        <w:rPr>
          <w:rFonts w:eastAsia="仿宋_GB2312"/>
          <w:b/>
          <w:sz w:val="32"/>
          <w:szCs w:val="32"/>
        </w:rPr>
        <w:t>十八大以来全县经济情况：</w:t>
      </w:r>
      <w:r w:rsidR="00832E49" w:rsidRPr="0013481E">
        <w:rPr>
          <w:rFonts w:eastAsia="仿宋_GB2312"/>
          <w:b/>
          <w:sz w:val="32"/>
          <w:szCs w:val="32"/>
        </w:rPr>
        <w:t>从总量看，</w:t>
      </w:r>
      <w:r w:rsidR="00832E49" w:rsidRPr="0013481E">
        <w:rPr>
          <w:rFonts w:eastAsia="仿宋_GB2312"/>
          <w:sz w:val="32"/>
          <w:szCs w:val="32"/>
        </w:rPr>
        <w:t>2017</w:t>
      </w:r>
      <w:r w:rsidR="00832E49" w:rsidRPr="0013481E">
        <w:rPr>
          <w:rFonts w:eastAsia="仿宋_GB2312"/>
          <w:sz w:val="32"/>
          <w:szCs w:val="32"/>
        </w:rPr>
        <w:t>年全县实现生产总值</w:t>
      </w:r>
      <w:r w:rsidR="00832E49" w:rsidRPr="0013481E">
        <w:rPr>
          <w:rFonts w:eastAsia="仿宋_GB2312"/>
          <w:sz w:val="32"/>
          <w:szCs w:val="32"/>
        </w:rPr>
        <w:t>793846</w:t>
      </w:r>
      <w:r w:rsidR="00832E49" w:rsidRPr="0013481E">
        <w:rPr>
          <w:rFonts w:eastAsia="仿宋_GB2312"/>
          <w:sz w:val="32"/>
          <w:szCs w:val="32"/>
        </w:rPr>
        <w:t>万元，比</w:t>
      </w:r>
      <w:r w:rsidR="00832E49" w:rsidRPr="0013481E">
        <w:rPr>
          <w:rFonts w:eastAsia="仿宋_GB2312"/>
          <w:sz w:val="32"/>
          <w:szCs w:val="32"/>
        </w:rPr>
        <w:t>2012</w:t>
      </w:r>
      <w:r w:rsidR="00832E49" w:rsidRPr="0013481E">
        <w:rPr>
          <w:rFonts w:eastAsia="仿宋_GB2312"/>
          <w:sz w:val="32"/>
          <w:szCs w:val="32"/>
        </w:rPr>
        <w:t>年多</w:t>
      </w:r>
      <w:r w:rsidR="00832E49" w:rsidRPr="0013481E">
        <w:rPr>
          <w:rFonts w:eastAsia="仿宋_GB2312"/>
          <w:sz w:val="32"/>
          <w:szCs w:val="32"/>
        </w:rPr>
        <w:t>2849</w:t>
      </w:r>
      <w:r w:rsidR="004058EC" w:rsidRPr="0013481E">
        <w:rPr>
          <w:rFonts w:eastAsia="仿宋_GB2312"/>
          <w:sz w:val="32"/>
          <w:szCs w:val="32"/>
        </w:rPr>
        <w:t>8</w:t>
      </w:r>
      <w:r w:rsidR="00832E49" w:rsidRPr="0013481E">
        <w:rPr>
          <w:rFonts w:eastAsia="仿宋_GB2312"/>
          <w:sz w:val="32"/>
          <w:szCs w:val="32"/>
        </w:rPr>
        <w:t>6</w:t>
      </w:r>
      <w:r w:rsidR="00832E49" w:rsidRPr="0013481E">
        <w:rPr>
          <w:rFonts w:eastAsia="仿宋_GB2312"/>
          <w:sz w:val="32"/>
          <w:szCs w:val="32"/>
        </w:rPr>
        <w:t>万元，是</w:t>
      </w:r>
      <w:r w:rsidR="00832E49" w:rsidRPr="0013481E">
        <w:rPr>
          <w:rFonts w:eastAsia="仿宋_GB2312"/>
          <w:sz w:val="32"/>
          <w:szCs w:val="32"/>
        </w:rPr>
        <w:t>2012</w:t>
      </w:r>
      <w:r w:rsidR="00832E49" w:rsidRPr="0013481E">
        <w:rPr>
          <w:rFonts w:eastAsia="仿宋_GB2312"/>
          <w:sz w:val="32"/>
          <w:szCs w:val="32"/>
        </w:rPr>
        <w:t>年的</w:t>
      </w:r>
      <w:r w:rsidR="00832E49" w:rsidRPr="0013481E">
        <w:rPr>
          <w:rFonts w:eastAsia="仿宋_GB2312"/>
          <w:sz w:val="32"/>
          <w:szCs w:val="32"/>
        </w:rPr>
        <w:t>1.56</w:t>
      </w:r>
      <w:r w:rsidR="00832E49" w:rsidRPr="0013481E">
        <w:rPr>
          <w:rFonts w:eastAsia="仿宋_GB2312"/>
          <w:sz w:val="32"/>
          <w:szCs w:val="32"/>
        </w:rPr>
        <w:t>倍。</w:t>
      </w:r>
      <w:r w:rsidR="00832E49" w:rsidRPr="0013481E">
        <w:rPr>
          <w:rFonts w:eastAsia="仿宋_GB2312"/>
          <w:b/>
          <w:sz w:val="32"/>
          <w:szCs w:val="32"/>
        </w:rPr>
        <w:t>从年均增长看，</w:t>
      </w:r>
      <w:r w:rsidR="00832E49" w:rsidRPr="0013481E">
        <w:rPr>
          <w:rFonts w:eastAsia="仿宋_GB2312"/>
          <w:sz w:val="32"/>
          <w:szCs w:val="32"/>
        </w:rPr>
        <w:t>2012-2017</w:t>
      </w:r>
      <w:r w:rsidR="00832E49" w:rsidRPr="0013481E">
        <w:rPr>
          <w:rFonts w:eastAsia="仿宋_GB2312"/>
          <w:sz w:val="32"/>
          <w:szCs w:val="32"/>
        </w:rPr>
        <w:t>年全县生产总值年均增长</w:t>
      </w:r>
      <w:r w:rsidR="00832E49" w:rsidRPr="0013481E">
        <w:rPr>
          <w:rFonts w:eastAsia="仿宋_GB2312"/>
          <w:sz w:val="32"/>
          <w:szCs w:val="32"/>
        </w:rPr>
        <w:t>9.2%</w:t>
      </w:r>
      <w:r w:rsidR="00832E49" w:rsidRPr="0013481E">
        <w:rPr>
          <w:rFonts w:eastAsia="仿宋_GB2312"/>
          <w:sz w:val="32"/>
          <w:szCs w:val="32"/>
        </w:rPr>
        <w:t>，增幅高于全市年均</w:t>
      </w:r>
      <w:r w:rsidR="00832E49" w:rsidRPr="0013481E">
        <w:rPr>
          <w:rFonts w:eastAsia="仿宋_GB2312"/>
          <w:sz w:val="32"/>
          <w:szCs w:val="32"/>
        </w:rPr>
        <w:t>0.8</w:t>
      </w:r>
      <w:r w:rsidR="00832E49" w:rsidRPr="0013481E">
        <w:rPr>
          <w:rFonts w:eastAsia="仿宋_GB2312"/>
          <w:sz w:val="32"/>
          <w:szCs w:val="32"/>
        </w:rPr>
        <w:t>个百分点；</w:t>
      </w:r>
      <w:r w:rsidR="00832E49" w:rsidRPr="0013481E">
        <w:rPr>
          <w:rFonts w:eastAsia="仿宋_GB2312"/>
          <w:b/>
          <w:sz w:val="32"/>
          <w:szCs w:val="32"/>
        </w:rPr>
        <w:t>从人均</w:t>
      </w:r>
      <w:r w:rsidR="00832E49" w:rsidRPr="0013481E">
        <w:rPr>
          <w:rFonts w:eastAsia="仿宋_GB2312"/>
          <w:b/>
          <w:sz w:val="32"/>
          <w:szCs w:val="32"/>
        </w:rPr>
        <w:t>GDP</w:t>
      </w:r>
      <w:r w:rsidR="00832E49" w:rsidRPr="0013481E">
        <w:rPr>
          <w:rFonts w:eastAsia="仿宋_GB2312"/>
          <w:b/>
          <w:sz w:val="32"/>
          <w:szCs w:val="32"/>
        </w:rPr>
        <w:t>看，</w:t>
      </w:r>
      <w:r w:rsidR="00832E49" w:rsidRPr="0013481E">
        <w:rPr>
          <w:rFonts w:eastAsia="仿宋_GB2312"/>
          <w:sz w:val="32"/>
          <w:szCs w:val="32"/>
        </w:rPr>
        <w:t>2017</w:t>
      </w:r>
      <w:r w:rsidR="00832E49" w:rsidRPr="0013481E">
        <w:rPr>
          <w:rFonts w:eastAsia="仿宋_GB2312"/>
          <w:sz w:val="32"/>
          <w:szCs w:val="32"/>
        </w:rPr>
        <w:t>年全县人均</w:t>
      </w:r>
      <w:r w:rsidR="00832E49" w:rsidRPr="0013481E">
        <w:rPr>
          <w:rFonts w:eastAsia="仿宋_GB2312"/>
          <w:sz w:val="32"/>
          <w:szCs w:val="32"/>
        </w:rPr>
        <w:t>GDP37614</w:t>
      </w:r>
      <w:r w:rsidR="00832E49" w:rsidRPr="0013481E">
        <w:rPr>
          <w:rFonts w:eastAsia="仿宋_GB2312"/>
          <w:sz w:val="32"/>
          <w:szCs w:val="32"/>
        </w:rPr>
        <w:t>元，</w:t>
      </w:r>
      <w:r w:rsidR="001B28F8" w:rsidRPr="0013481E">
        <w:rPr>
          <w:rFonts w:eastAsia="仿宋_GB2312"/>
          <w:sz w:val="32"/>
          <w:szCs w:val="32"/>
        </w:rPr>
        <w:t>人均</w:t>
      </w:r>
      <w:r w:rsidR="001B28F8" w:rsidRPr="0013481E">
        <w:rPr>
          <w:rFonts w:eastAsia="仿宋_GB2312"/>
          <w:sz w:val="32"/>
          <w:szCs w:val="32"/>
        </w:rPr>
        <w:t>GDP</w:t>
      </w:r>
      <w:r w:rsidR="001B28F8" w:rsidRPr="0013481E">
        <w:rPr>
          <w:rFonts w:eastAsia="仿宋_GB2312"/>
          <w:sz w:val="32"/>
          <w:szCs w:val="32"/>
        </w:rPr>
        <w:t>比全市高</w:t>
      </w:r>
      <w:r w:rsidR="001B28F8" w:rsidRPr="0013481E">
        <w:rPr>
          <w:rFonts w:eastAsia="仿宋_GB2312"/>
          <w:sz w:val="32"/>
          <w:szCs w:val="32"/>
        </w:rPr>
        <w:t>11837</w:t>
      </w:r>
      <w:r w:rsidR="001B28F8" w:rsidRPr="0013481E">
        <w:rPr>
          <w:rFonts w:eastAsia="仿宋_GB2312"/>
          <w:sz w:val="32"/>
          <w:szCs w:val="32"/>
        </w:rPr>
        <w:t>元，</w:t>
      </w:r>
      <w:r w:rsidR="00832E49" w:rsidRPr="0013481E">
        <w:rPr>
          <w:rFonts w:eastAsia="仿宋_GB2312"/>
          <w:sz w:val="32"/>
          <w:szCs w:val="32"/>
        </w:rPr>
        <w:t>比</w:t>
      </w:r>
      <w:r w:rsidR="00832E49" w:rsidRPr="0013481E">
        <w:rPr>
          <w:rFonts w:eastAsia="仿宋_GB2312"/>
          <w:sz w:val="32"/>
          <w:szCs w:val="32"/>
        </w:rPr>
        <w:t>2012</w:t>
      </w:r>
      <w:r w:rsidR="00832E49" w:rsidRPr="0013481E">
        <w:rPr>
          <w:rFonts w:eastAsia="仿宋_GB2312"/>
          <w:sz w:val="32"/>
          <w:szCs w:val="32"/>
        </w:rPr>
        <w:t>年多</w:t>
      </w:r>
      <w:r w:rsidR="001B28F8" w:rsidRPr="0013481E">
        <w:rPr>
          <w:rFonts w:eastAsia="仿宋_GB2312"/>
          <w:sz w:val="32"/>
          <w:szCs w:val="32"/>
        </w:rPr>
        <w:t>13091</w:t>
      </w:r>
      <w:r w:rsidR="00832E49" w:rsidRPr="0013481E">
        <w:rPr>
          <w:rFonts w:eastAsia="仿宋_GB2312"/>
          <w:sz w:val="32"/>
          <w:szCs w:val="32"/>
        </w:rPr>
        <w:t>元</w:t>
      </w:r>
      <w:r w:rsidR="001B28F8" w:rsidRPr="0013481E">
        <w:rPr>
          <w:rFonts w:eastAsia="仿宋_GB2312"/>
          <w:sz w:val="32"/>
          <w:szCs w:val="32"/>
        </w:rPr>
        <w:t>；</w:t>
      </w:r>
      <w:r w:rsidR="001B28F8" w:rsidRPr="0013481E">
        <w:rPr>
          <w:rFonts w:eastAsia="仿宋_GB2312"/>
          <w:sz w:val="32"/>
          <w:szCs w:val="32"/>
        </w:rPr>
        <w:t>2012-2017</w:t>
      </w:r>
      <w:r w:rsidR="001B28F8" w:rsidRPr="0013481E">
        <w:rPr>
          <w:rFonts w:eastAsia="仿宋_GB2312"/>
          <w:sz w:val="32"/>
          <w:szCs w:val="32"/>
        </w:rPr>
        <w:t>年人均</w:t>
      </w:r>
      <w:r w:rsidR="001B28F8" w:rsidRPr="0013481E">
        <w:rPr>
          <w:rFonts w:eastAsia="仿宋_GB2312"/>
          <w:sz w:val="32"/>
          <w:szCs w:val="32"/>
        </w:rPr>
        <w:t>GDP</w:t>
      </w:r>
      <w:r w:rsidR="001B28F8" w:rsidRPr="0013481E">
        <w:rPr>
          <w:rFonts w:eastAsia="仿宋_GB2312"/>
          <w:sz w:val="32"/>
          <w:szCs w:val="32"/>
        </w:rPr>
        <w:t>年均增长</w:t>
      </w:r>
      <w:r w:rsidR="001B28F8" w:rsidRPr="0013481E">
        <w:rPr>
          <w:rFonts w:eastAsia="仿宋_GB2312"/>
          <w:sz w:val="32"/>
          <w:szCs w:val="32"/>
        </w:rPr>
        <w:t>8.9</w:t>
      </w:r>
      <w:r w:rsidR="00832E49" w:rsidRPr="0013481E">
        <w:rPr>
          <w:rFonts w:eastAsia="仿宋_GB2312"/>
          <w:sz w:val="32"/>
          <w:szCs w:val="32"/>
        </w:rPr>
        <w:t>%</w:t>
      </w:r>
      <w:r w:rsidR="001B28F8" w:rsidRPr="0013481E">
        <w:rPr>
          <w:rFonts w:eastAsia="仿宋_GB2312"/>
          <w:sz w:val="32"/>
          <w:szCs w:val="32"/>
        </w:rPr>
        <w:t>。</w:t>
      </w:r>
    </w:p>
    <w:p w:rsidR="009E626F" w:rsidRPr="0013481E" w:rsidRDefault="009E626F" w:rsidP="00554432">
      <w:pPr>
        <w:spacing w:beforeLines="50" w:afterLines="50" w:line="540" w:lineRule="exact"/>
        <w:ind w:left="0" w:firstLineChars="200" w:firstLine="640"/>
        <w:rPr>
          <w:rFonts w:eastAsia="仿宋_GB2312"/>
          <w:sz w:val="32"/>
          <w:szCs w:val="32"/>
        </w:rPr>
      </w:pPr>
    </w:p>
    <w:p w:rsidR="00FA3E3F" w:rsidRPr="0013481E" w:rsidRDefault="00FA3E3F" w:rsidP="00554432">
      <w:pPr>
        <w:spacing w:beforeLines="50" w:afterLines="50" w:line="540" w:lineRule="exact"/>
        <w:ind w:left="0" w:firstLineChars="200" w:firstLine="640"/>
        <w:rPr>
          <w:rFonts w:eastAsia="仿宋_GB2312"/>
          <w:sz w:val="32"/>
          <w:szCs w:val="32"/>
        </w:rPr>
      </w:pPr>
      <w:r w:rsidRPr="0013481E">
        <w:rPr>
          <w:rFonts w:eastAsia="仿宋_GB2312"/>
          <w:sz w:val="32"/>
          <w:szCs w:val="32"/>
        </w:rPr>
        <w:t>市场价格总水平略有上升。全年居民消费价格总指数为</w:t>
      </w:r>
      <w:r w:rsidR="00FC79EA" w:rsidRPr="0013481E">
        <w:rPr>
          <w:rFonts w:eastAsia="仿宋_GB2312"/>
          <w:sz w:val="32"/>
          <w:szCs w:val="32"/>
        </w:rPr>
        <w:t>10</w:t>
      </w:r>
      <w:r w:rsidR="00AA7B70" w:rsidRPr="0013481E">
        <w:rPr>
          <w:rFonts w:eastAsia="仿宋_GB2312"/>
          <w:sz w:val="32"/>
          <w:szCs w:val="32"/>
        </w:rPr>
        <w:t>1.5</w:t>
      </w:r>
      <w:r w:rsidRPr="0013481E">
        <w:rPr>
          <w:rFonts w:eastAsia="仿宋_GB2312"/>
          <w:sz w:val="32"/>
          <w:szCs w:val="32"/>
        </w:rPr>
        <w:t>%</w:t>
      </w:r>
      <w:r w:rsidRPr="0013481E">
        <w:rPr>
          <w:rFonts w:eastAsia="仿宋_GB2312"/>
          <w:sz w:val="32"/>
          <w:szCs w:val="32"/>
        </w:rPr>
        <w:t>（上年为</w:t>
      </w:r>
      <w:r w:rsidRPr="0013481E">
        <w:rPr>
          <w:rFonts w:eastAsia="仿宋_GB2312"/>
          <w:sz w:val="32"/>
          <w:szCs w:val="32"/>
        </w:rPr>
        <w:t>100%</w:t>
      </w:r>
      <w:r w:rsidRPr="0013481E">
        <w:rPr>
          <w:rFonts w:eastAsia="仿宋_GB2312"/>
          <w:sz w:val="32"/>
          <w:szCs w:val="32"/>
        </w:rPr>
        <w:t>）</w:t>
      </w:r>
      <w:r w:rsidR="003C7860" w:rsidRPr="0013481E">
        <w:rPr>
          <w:rFonts w:eastAsia="仿宋_GB2312"/>
          <w:sz w:val="32"/>
          <w:szCs w:val="32"/>
        </w:rPr>
        <w:t>，</w:t>
      </w:r>
      <w:r w:rsidRPr="0013481E">
        <w:rPr>
          <w:rFonts w:eastAsia="仿宋_GB2312"/>
          <w:sz w:val="32"/>
          <w:szCs w:val="32"/>
        </w:rPr>
        <w:t>上升了</w:t>
      </w:r>
      <w:r w:rsidR="00AA7B70" w:rsidRPr="0013481E">
        <w:rPr>
          <w:rFonts w:eastAsia="仿宋_GB2312"/>
          <w:sz w:val="32"/>
          <w:szCs w:val="32"/>
        </w:rPr>
        <w:t>1.5</w:t>
      </w:r>
      <w:r w:rsidRPr="0013481E">
        <w:rPr>
          <w:rFonts w:eastAsia="仿宋_GB2312"/>
          <w:sz w:val="32"/>
          <w:szCs w:val="32"/>
        </w:rPr>
        <w:t>个百分点，主要八类价格指数呈</w:t>
      </w:r>
      <w:r w:rsidRPr="0013481E">
        <w:rPr>
          <w:rFonts w:eastAsia="仿宋_GB2312"/>
          <w:sz w:val="32"/>
          <w:szCs w:val="32"/>
        </w:rPr>
        <w:t>“</w:t>
      </w:r>
      <w:r w:rsidR="00AA7B70" w:rsidRPr="0013481E">
        <w:rPr>
          <w:rFonts w:eastAsia="仿宋_GB2312"/>
          <w:sz w:val="32"/>
          <w:szCs w:val="32"/>
        </w:rPr>
        <w:t>七</w:t>
      </w:r>
      <w:r w:rsidRPr="0013481E">
        <w:rPr>
          <w:rFonts w:eastAsia="仿宋_GB2312"/>
          <w:sz w:val="32"/>
          <w:szCs w:val="32"/>
        </w:rPr>
        <w:t>升</w:t>
      </w:r>
      <w:r w:rsidR="00AA7B70" w:rsidRPr="0013481E">
        <w:rPr>
          <w:rFonts w:eastAsia="仿宋_GB2312"/>
          <w:sz w:val="32"/>
          <w:szCs w:val="32"/>
        </w:rPr>
        <w:t>一</w:t>
      </w:r>
      <w:r w:rsidRPr="0013481E">
        <w:rPr>
          <w:rFonts w:eastAsia="仿宋_GB2312"/>
          <w:sz w:val="32"/>
          <w:szCs w:val="32"/>
        </w:rPr>
        <w:t>降</w:t>
      </w:r>
      <w:r w:rsidRPr="0013481E">
        <w:rPr>
          <w:rFonts w:eastAsia="仿宋_GB2312"/>
          <w:sz w:val="32"/>
          <w:szCs w:val="32"/>
        </w:rPr>
        <w:t>”</w:t>
      </w:r>
      <w:r w:rsidRPr="0013481E">
        <w:rPr>
          <w:rFonts w:eastAsia="仿宋_GB2312"/>
          <w:sz w:val="32"/>
          <w:szCs w:val="32"/>
        </w:rPr>
        <w:t>的态势。其中</w:t>
      </w:r>
      <w:r w:rsidRPr="0013481E">
        <w:rPr>
          <w:rFonts w:eastAsia="仿宋_GB2312"/>
          <w:sz w:val="32"/>
          <w:szCs w:val="32"/>
        </w:rPr>
        <w:t>“</w:t>
      </w:r>
      <w:r w:rsidR="00AA7B70" w:rsidRPr="0013481E">
        <w:rPr>
          <w:rFonts w:eastAsia="仿宋_GB2312"/>
          <w:sz w:val="32"/>
          <w:szCs w:val="32"/>
        </w:rPr>
        <w:t>七</w:t>
      </w:r>
      <w:r w:rsidRPr="0013481E">
        <w:rPr>
          <w:rFonts w:eastAsia="仿宋_GB2312"/>
          <w:sz w:val="32"/>
          <w:szCs w:val="32"/>
        </w:rPr>
        <w:t>升</w:t>
      </w:r>
      <w:r w:rsidRPr="0013481E">
        <w:rPr>
          <w:rFonts w:eastAsia="仿宋_GB2312"/>
          <w:sz w:val="32"/>
          <w:szCs w:val="32"/>
        </w:rPr>
        <w:t>”</w:t>
      </w:r>
      <w:r w:rsidRPr="0013481E">
        <w:rPr>
          <w:rFonts w:eastAsia="仿宋_GB2312"/>
          <w:sz w:val="32"/>
          <w:szCs w:val="32"/>
        </w:rPr>
        <w:t>即：</w:t>
      </w:r>
      <w:r w:rsidR="00AA7B70" w:rsidRPr="0013481E">
        <w:rPr>
          <w:rFonts w:eastAsia="仿宋_GB2312"/>
          <w:sz w:val="32"/>
          <w:szCs w:val="32"/>
        </w:rPr>
        <w:t>衣着类上升</w:t>
      </w:r>
      <w:r w:rsidR="00AA7B70" w:rsidRPr="0013481E">
        <w:rPr>
          <w:rFonts w:eastAsia="仿宋_GB2312"/>
          <w:sz w:val="32"/>
          <w:szCs w:val="32"/>
        </w:rPr>
        <w:t>0.5</w:t>
      </w:r>
      <w:r w:rsidR="00AA7B70" w:rsidRPr="0013481E">
        <w:rPr>
          <w:rFonts w:eastAsia="仿宋_GB2312"/>
          <w:sz w:val="32"/>
          <w:szCs w:val="32"/>
        </w:rPr>
        <w:t>个百分点，居住类</w:t>
      </w:r>
      <w:r w:rsidR="0056282F" w:rsidRPr="0013481E">
        <w:rPr>
          <w:rFonts w:eastAsia="仿宋_GB2312"/>
          <w:sz w:val="32"/>
          <w:szCs w:val="32"/>
        </w:rPr>
        <w:t>上升</w:t>
      </w:r>
      <w:r w:rsidR="0056282F" w:rsidRPr="0013481E">
        <w:rPr>
          <w:rFonts w:eastAsia="仿宋_GB2312"/>
          <w:sz w:val="32"/>
          <w:szCs w:val="32"/>
        </w:rPr>
        <w:t>4.5</w:t>
      </w:r>
      <w:r w:rsidR="00AA7B70" w:rsidRPr="0013481E">
        <w:rPr>
          <w:rFonts w:eastAsia="仿宋_GB2312"/>
          <w:sz w:val="32"/>
          <w:szCs w:val="32"/>
        </w:rPr>
        <w:t>个百分点</w:t>
      </w:r>
      <w:r w:rsidR="00AA7B70" w:rsidRPr="0013481E">
        <w:rPr>
          <w:rFonts w:eastAsia="仿宋_GB2312"/>
          <w:sz w:val="32"/>
          <w:szCs w:val="32"/>
        </w:rPr>
        <w:t>,</w:t>
      </w:r>
      <w:r w:rsidR="0056282F" w:rsidRPr="0013481E">
        <w:rPr>
          <w:rFonts w:eastAsia="仿宋_GB2312"/>
          <w:sz w:val="32"/>
          <w:szCs w:val="32"/>
        </w:rPr>
        <w:t xml:space="preserve"> </w:t>
      </w:r>
      <w:r w:rsidR="0056282F" w:rsidRPr="0013481E">
        <w:rPr>
          <w:rFonts w:eastAsia="仿宋_GB2312"/>
          <w:sz w:val="32"/>
          <w:szCs w:val="32"/>
        </w:rPr>
        <w:t>生活用品及服务类上升</w:t>
      </w:r>
      <w:r w:rsidR="0056282F" w:rsidRPr="0013481E">
        <w:rPr>
          <w:rFonts w:eastAsia="仿宋_GB2312"/>
          <w:sz w:val="32"/>
          <w:szCs w:val="32"/>
        </w:rPr>
        <w:t>0.6</w:t>
      </w:r>
      <w:r w:rsidR="0056282F" w:rsidRPr="0013481E">
        <w:rPr>
          <w:rFonts w:eastAsia="仿宋_GB2312"/>
          <w:sz w:val="32"/>
          <w:szCs w:val="32"/>
        </w:rPr>
        <w:t>个百分点，</w:t>
      </w:r>
      <w:r w:rsidR="00AA7B70" w:rsidRPr="0013481E">
        <w:rPr>
          <w:rFonts w:eastAsia="仿宋_GB2312"/>
          <w:sz w:val="32"/>
          <w:szCs w:val="32"/>
        </w:rPr>
        <w:t>交通和通讯类</w:t>
      </w:r>
      <w:r w:rsidR="0056282F" w:rsidRPr="0013481E">
        <w:rPr>
          <w:rFonts w:eastAsia="仿宋_GB2312"/>
          <w:sz w:val="32"/>
          <w:szCs w:val="32"/>
        </w:rPr>
        <w:t>上升</w:t>
      </w:r>
      <w:r w:rsidR="0056282F" w:rsidRPr="0013481E">
        <w:rPr>
          <w:rFonts w:eastAsia="仿宋_GB2312"/>
          <w:sz w:val="32"/>
          <w:szCs w:val="32"/>
        </w:rPr>
        <w:t>1.6</w:t>
      </w:r>
      <w:r w:rsidR="00AA7B70" w:rsidRPr="0013481E">
        <w:rPr>
          <w:rFonts w:eastAsia="仿宋_GB2312"/>
          <w:sz w:val="32"/>
          <w:szCs w:val="32"/>
        </w:rPr>
        <w:t>个百分点</w:t>
      </w:r>
      <w:r w:rsidRPr="0013481E">
        <w:rPr>
          <w:rFonts w:eastAsia="仿宋_GB2312"/>
          <w:sz w:val="32"/>
          <w:szCs w:val="32"/>
        </w:rPr>
        <w:t>，</w:t>
      </w:r>
      <w:r w:rsidR="00794550" w:rsidRPr="0013481E">
        <w:rPr>
          <w:rFonts w:eastAsia="仿宋_GB2312"/>
          <w:sz w:val="32"/>
          <w:szCs w:val="32"/>
        </w:rPr>
        <w:t>教育文化和娱乐类上升</w:t>
      </w:r>
      <w:r w:rsidR="0056282F" w:rsidRPr="0013481E">
        <w:rPr>
          <w:rFonts w:eastAsia="仿宋_GB2312"/>
          <w:sz w:val="32"/>
          <w:szCs w:val="32"/>
        </w:rPr>
        <w:t>2.4</w:t>
      </w:r>
      <w:r w:rsidR="00794550" w:rsidRPr="0013481E">
        <w:rPr>
          <w:rFonts w:eastAsia="仿宋_GB2312"/>
          <w:sz w:val="32"/>
          <w:szCs w:val="32"/>
        </w:rPr>
        <w:t>个百分点，</w:t>
      </w:r>
      <w:r w:rsidR="002D38C3" w:rsidRPr="0013481E">
        <w:rPr>
          <w:rFonts w:eastAsia="仿宋_GB2312"/>
          <w:sz w:val="32"/>
          <w:szCs w:val="32"/>
        </w:rPr>
        <w:t>医疗保健类上升</w:t>
      </w:r>
      <w:r w:rsidR="0056282F" w:rsidRPr="0013481E">
        <w:rPr>
          <w:rFonts w:eastAsia="仿宋_GB2312"/>
          <w:sz w:val="32"/>
          <w:szCs w:val="32"/>
        </w:rPr>
        <w:t>7.1</w:t>
      </w:r>
      <w:r w:rsidR="002D38C3" w:rsidRPr="0013481E">
        <w:rPr>
          <w:rFonts w:eastAsia="仿宋_GB2312"/>
          <w:sz w:val="32"/>
          <w:szCs w:val="32"/>
        </w:rPr>
        <w:t>个百分点，</w:t>
      </w:r>
      <w:r w:rsidR="00794550" w:rsidRPr="0013481E">
        <w:rPr>
          <w:rFonts w:eastAsia="仿宋_GB2312"/>
          <w:sz w:val="32"/>
          <w:szCs w:val="32"/>
        </w:rPr>
        <w:t>其他用品和服务</w:t>
      </w:r>
      <w:r w:rsidR="00C724A3" w:rsidRPr="0013481E">
        <w:rPr>
          <w:rFonts w:eastAsia="仿宋_GB2312"/>
          <w:sz w:val="32"/>
          <w:szCs w:val="32"/>
        </w:rPr>
        <w:t>类上升</w:t>
      </w:r>
      <w:r w:rsidR="0056282F" w:rsidRPr="0013481E">
        <w:rPr>
          <w:rFonts w:eastAsia="仿宋_GB2312"/>
          <w:sz w:val="32"/>
          <w:szCs w:val="32"/>
        </w:rPr>
        <w:t>0.5</w:t>
      </w:r>
      <w:r w:rsidR="00794550" w:rsidRPr="0013481E">
        <w:rPr>
          <w:rFonts w:eastAsia="仿宋_GB2312"/>
          <w:sz w:val="32"/>
          <w:szCs w:val="32"/>
        </w:rPr>
        <w:t>个百分</w:t>
      </w:r>
      <w:r w:rsidRPr="0013481E">
        <w:rPr>
          <w:rFonts w:eastAsia="仿宋_GB2312"/>
          <w:sz w:val="32"/>
          <w:szCs w:val="32"/>
        </w:rPr>
        <w:t>；</w:t>
      </w:r>
      <w:r w:rsidRPr="0013481E">
        <w:rPr>
          <w:rFonts w:eastAsia="仿宋_GB2312"/>
          <w:sz w:val="32"/>
          <w:szCs w:val="32"/>
        </w:rPr>
        <w:lastRenderedPageBreak/>
        <w:t>“</w:t>
      </w:r>
      <w:r w:rsidR="00AA7B70" w:rsidRPr="0013481E">
        <w:rPr>
          <w:rFonts w:eastAsia="仿宋_GB2312"/>
          <w:sz w:val="32"/>
          <w:szCs w:val="32"/>
        </w:rPr>
        <w:t>一</w:t>
      </w:r>
      <w:r w:rsidRPr="0013481E">
        <w:rPr>
          <w:rFonts w:eastAsia="仿宋_GB2312"/>
          <w:sz w:val="32"/>
          <w:szCs w:val="32"/>
        </w:rPr>
        <w:t>降</w:t>
      </w:r>
      <w:r w:rsidRPr="0013481E">
        <w:rPr>
          <w:rFonts w:eastAsia="仿宋_GB2312"/>
          <w:sz w:val="32"/>
          <w:szCs w:val="32"/>
        </w:rPr>
        <w:t>”</w:t>
      </w:r>
      <w:r w:rsidRPr="0013481E">
        <w:rPr>
          <w:rFonts w:eastAsia="仿宋_GB2312"/>
          <w:sz w:val="32"/>
          <w:szCs w:val="32"/>
        </w:rPr>
        <w:t>即：</w:t>
      </w:r>
      <w:r w:rsidR="00AA7B70" w:rsidRPr="0013481E">
        <w:rPr>
          <w:rFonts w:eastAsia="仿宋_GB2312"/>
          <w:sz w:val="32"/>
          <w:szCs w:val="32"/>
        </w:rPr>
        <w:t>食品烟酒类下降</w:t>
      </w:r>
      <w:r w:rsidR="00AA7B70" w:rsidRPr="0013481E">
        <w:rPr>
          <w:rFonts w:eastAsia="仿宋_GB2312"/>
          <w:sz w:val="32"/>
          <w:szCs w:val="32"/>
        </w:rPr>
        <w:t>1.2</w:t>
      </w:r>
      <w:r w:rsidR="00AA7B70" w:rsidRPr="0013481E">
        <w:rPr>
          <w:rFonts w:eastAsia="仿宋_GB2312"/>
          <w:sz w:val="32"/>
          <w:szCs w:val="32"/>
        </w:rPr>
        <w:t>个百分点</w:t>
      </w:r>
      <w:r w:rsidRPr="0013481E">
        <w:rPr>
          <w:rFonts w:eastAsia="仿宋_GB2312"/>
          <w:sz w:val="32"/>
          <w:szCs w:val="32"/>
        </w:rPr>
        <w:t>。</w:t>
      </w:r>
    </w:p>
    <w:tbl>
      <w:tblPr>
        <w:tblStyle w:val="ab"/>
        <w:tblpPr w:leftFromText="180" w:rightFromText="180" w:vertAnchor="text" w:horzAnchor="margin" w:tblpY="227"/>
        <w:tblW w:w="0" w:type="auto"/>
        <w:tblLook w:val="04A0"/>
      </w:tblPr>
      <w:tblGrid>
        <w:gridCol w:w="3648"/>
        <w:gridCol w:w="1126"/>
        <w:gridCol w:w="2365"/>
        <w:gridCol w:w="1563"/>
      </w:tblGrid>
      <w:tr w:rsidR="00733ECA" w:rsidRPr="0013481E" w:rsidTr="000B27D1">
        <w:trPr>
          <w:trHeight w:val="601"/>
        </w:trPr>
        <w:tc>
          <w:tcPr>
            <w:tcW w:w="8702" w:type="dxa"/>
            <w:gridSpan w:val="4"/>
            <w:tcBorders>
              <w:top w:val="nil"/>
              <w:left w:val="nil"/>
              <w:bottom w:val="single" w:sz="12" w:space="0" w:color="000000" w:themeColor="text1"/>
              <w:right w:val="nil"/>
            </w:tcBorders>
            <w:vAlign w:val="center"/>
          </w:tcPr>
          <w:p w:rsidR="00733ECA" w:rsidRPr="0013481E" w:rsidRDefault="00733ECA" w:rsidP="001B28F8">
            <w:pPr>
              <w:spacing w:line="440" w:lineRule="exact"/>
              <w:jc w:val="center"/>
              <w:rPr>
                <w:rFonts w:eastAsia="仿宋_GB2312"/>
                <w:b/>
                <w:sz w:val="28"/>
                <w:szCs w:val="28"/>
              </w:rPr>
            </w:pPr>
            <w:r w:rsidRPr="0013481E">
              <w:rPr>
                <w:rFonts w:eastAsia="仿宋_GB2312"/>
                <w:b/>
                <w:sz w:val="28"/>
                <w:szCs w:val="28"/>
              </w:rPr>
              <w:t>表</w:t>
            </w:r>
            <w:r w:rsidRPr="0013481E">
              <w:rPr>
                <w:rFonts w:eastAsia="仿宋_GB2312"/>
                <w:b/>
                <w:sz w:val="28"/>
                <w:szCs w:val="28"/>
              </w:rPr>
              <w:t>1 201</w:t>
            </w:r>
            <w:r w:rsidR="001B28F8" w:rsidRPr="0013481E">
              <w:rPr>
                <w:rFonts w:eastAsia="仿宋_GB2312"/>
                <w:b/>
                <w:sz w:val="28"/>
                <w:szCs w:val="28"/>
              </w:rPr>
              <w:t>7</w:t>
            </w:r>
            <w:r w:rsidRPr="0013481E">
              <w:rPr>
                <w:rFonts w:eastAsia="仿宋_GB2312"/>
                <w:b/>
                <w:sz w:val="28"/>
                <w:szCs w:val="28"/>
              </w:rPr>
              <w:t>年居民消费价格指数</w:t>
            </w:r>
          </w:p>
        </w:tc>
      </w:tr>
      <w:tr w:rsidR="00733ECA" w:rsidRPr="0013481E" w:rsidTr="000B27D1">
        <w:trPr>
          <w:trHeight w:val="613"/>
        </w:trPr>
        <w:tc>
          <w:tcPr>
            <w:tcW w:w="3648" w:type="dxa"/>
            <w:tcBorders>
              <w:top w:val="single" w:sz="12" w:space="0" w:color="000000" w:themeColor="text1"/>
              <w:left w:val="nil"/>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指标名称</w:t>
            </w:r>
          </w:p>
        </w:tc>
        <w:tc>
          <w:tcPr>
            <w:tcW w:w="1126" w:type="dxa"/>
            <w:tcBorders>
              <w:top w:val="single" w:sz="12" w:space="0" w:color="000000" w:themeColor="text1"/>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计算</w:t>
            </w:r>
          </w:p>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单位</w:t>
            </w:r>
          </w:p>
        </w:tc>
        <w:tc>
          <w:tcPr>
            <w:tcW w:w="2365" w:type="dxa"/>
            <w:tcBorders>
              <w:top w:val="single" w:sz="12" w:space="0" w:color="000000" w:themeColor="text1"/>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价格指数</w:t>
            </w:r>
          </w:p>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r w:rsidRPr="0013481E">
              <w:rPr>
                <w:rFonts w:eastAsia="仿宋_GB2312"/>
                <w:sz w:val="24"/>
                <w:szCs w:val="24"/>
              </w:rPr>
              <w:t>上年度为</w:t>
            </w:r>
            <w:r w:rsidRPr="0013481E">
              <w:rPr>
                <w:rFonts w:eastAsia="仿宋_GB2312"/>
                <w:sz w:val="24"/>
                <w:szCs w:val="24"/>
              </w:rPr>
              <w:t>100)</w:t>
            </w:r>
          </w:p>
        </w:tc>
        <w:tc>
          <w:tcPr>
            <w:tcW w:w="1563" w:type="dxa"/>
            <w:tcBorders>
              <w:top w:val="single" w:sz="12" w:space="0" w:color="000000" w:themeColor="text1"/>
              <w:right w:val="nil"/>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累计同比</w:t>
            </w:r>
          </w:p>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居民消费价格总指数（</w:t>
            </w:r>
            <w:r w:rsidRPr="0013481E">
              <w:rPr>
                <w:rFonts w:eastAsia="仿宋_GB2312"/>
                <w:sz w:val="24"/>
                <w:szCs w:val="24"/>
              </w:rPr>
              <w:t>CPI</w:t>
            </w:r>
            <w:r w:rsidRPr="0013481E">
              <w:rPr>
                <w:rFonts w:eastAsia="仿宋_GB2312"/>
                <w:sz w:val="24"/>
                <w:szCs w:val="24"/>
              </w:rPr>
              <w:t>）</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733ECA" w:rsidP="00AA7B70">
            <w:pPr>
              <w:spacing w:line="440" w:lineRule="exact"/>
              <w:jc w:val="center"/>
              <w:rPr>
                <w:rFonts w:eastAsia="仿宋_GB2312"/>
                <w:sz w:val="24"/>
                <w:szCs w:val="24"/>
              </w:rPr>
            </w:pPr>
            <w:r w:rsidRPr="0013481E">
              <w:rPr>
                <w:rFonts w:eastAsia="仿宋_GB2312"/>
                <w:sz w:val="24"/>
                <w:szCs w:val="24"/>
              </w:rPr>
              <w:t>10</w:t>
            </w:r>
            <w:r w:rsidR="00AA7B70" w:rsidRPr="0013481E">
              <w:rPr>
                <w:rFonts w:eastAsia="仿宋_GB2312"/>
                <w:sz w:val="24"/>
                <w:szCs w:val="24"/>
              </w:rPr>
              <w:t>1.5</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1.5</w:t>
            </w:r>
          </w:p>
        </w:tc>
      </w:tr>
      <w:tr w:rsidR="00733ECA" w:rsidRPr="0013481E" w:rsidTr="000B27D1">
        <w:trPr>
          <w:trHeight w:val="40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食品烟酒</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98.8</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-1.2</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衣着</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100.6</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0.6</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居住</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104.5</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4.5</w:t>
            </w:r>
          </w:p>
        </w:tc>
      </w:tr>
      <w:tr w:rsidR="00733ECA" w:rsidRPr="0013481E" w:rsidTr="000B27D1">
        <w:trPr>
          <w:trHeight w:val="40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生活用品及服务</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100.6</w:t>
            </w:r>
          </w:p>
        </w:tc>
        <w:tc>
          <w:tcPr>
            <w:tcW w:w="1563" w:type="dxa"/>
            <w:tcBorders>
              <w:right w:val="nil"/>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0.</w:t>
            </w:r>
            <w:r w:rsidR="00AA7B70" w:rsidRPr="0013481E">
              <w:rPr>
                <w:rFonts w:eastAsia="仿宋_GB2312"/>
                <w:sz w:val="24"/>
                <w:szCs w:val="24"/>
              </w:rPr>
              <w:t>6</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交通和通信</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101.6</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1.6</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教育文化和娱乐</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AA7B70">
            <w:pPr>
              <w:spacing w:line="440" w:lineRule="exact"/>
              <w:jc w:val="center"/>
              <w:rPr>
                <w:rFonts w:eastAsia="仿宋_GB2312"/>
                <w:sz w:val="24"/>
                <w:szCs w:val="24"/>
              </w:rPr>
            </w:pPr>
            <w:r w:rsidRPr="0013481E">
              <w:rPr>
                <w:rFonts w:eastAsia="仿宋_GB2312"/>
                <w:sz w:val="24"/>
                <w:szCs w:val="24"/>
              </w:rPr>
              <w:t>102.4</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2.4</w:t>
            </w:r>
          </w:p>
        </w:tc>
      </w:tr>
      <w:tr w:rsidR="00733ECA" w:rsidRPr="0013481E" w:rsidTr="000B27D1">
        <w:trPr>
          <w:trHeight w:val="416"/>
        </w:trPr>
        <w:tc>
          <w:tcPr>
            <w:tcW w:w="3648" w:type="dxa"/>
            <w:tcBorders>
              <w:left w:val="nil"/>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医疗保健</w:t>
            </w:r>
          </w:p>
        </w:tc>
        <w:tc>
          <w:tcPr>
            <w:tcW w:w="1126" w:type="dxa"/>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107.1</w:t>
            </w:r>
          </w:p>
        </w:tc>
        <w:tc>
          <w:tcPr>
            <w:tcW w:w="1563" w:type="dxa"/>
            <w:tcBorders>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7.1</w:t>
            </w:r>
          </w:p>
        </w:tc>
      </w:tr>
      <w:tr w:rsidR="00733ECA" w:rsidRPr="0013481E" w:rsidTr="000B27D1">
        <w:trPr>
          <w:trHeight w:val="406"/>
        </w:trPr>
        <w:tc>
          <w:tcPr>
            <w:tcW w:w="3648" w:type="dxa"/>
            <w:tcBorders>
              <w:left w:val="nil"/>
              <w:bottom w:val="single" w:sz="12" w:space="0" w:color="000000" w:themeColor="text1"/>
            </w:tcBorders>
            <w:vAlign w:val="center"/>
          </w:tcPr>
          <w:p w:rsidR="00733ECA" w:rsidRPr="0013481E" w:rsidRDefault="00733ECA" w:rsidP="00733ECA">
            <w:pPr>
              <w:spacing w:line="440" w:lineRule="exact"/>
              <w:rPr>
                <w:rFonts w:eastAsia="仿宋_GB2312"/>
                <w:sz w:val="24"/>
                <w:szCs w:val="24"/>
              </w:rPr>
            </w:pPr>
            <w:r w:rsidRPr="0013481E">
              <w:rPr>
                <w:rFonts w:eastAsia="仿宋_GB2312"/>
                <w:sz w:val="24"/>
                <w:szCs w:val="24"/>
              </w:rPr>
              <w:t xml:space="preserve">     </w:t>
            </w:r>
            <w:r w:rsidRPr="0013481E">
              <w:rPr>
                <w:rFonts w:eastAsia="仿宋_GB2312"/>
                <w:sz w:val="24"/>
                <w:szCs w:val="24"/>
              </w:rPr>
              <w:t>其他用品和服务</w:t>
            </w:r>
          </w:p>
        </w:tc>
        <w:tc>
          <w:tcPr>
            <w:tcW w:w="1126" w:type="dxa"/>
            <w:tcBorders>
              <w:bottom w:val="single" w:sz="12" w:space="0" w:color="000000" w:themeColor="text1"/>
            </w:tcBorders>
            <w:vAlign w:val="center"/>
          </w:tcPr>
          <w:p w:rsidR="00733ECA" w:rsidRPr="0013481E" w:rsidRDefault="00733ECA" w:rsidP="00733ECA">
            <w:pPr>
              <w:spacing w:line="440" w:lineRule="exact"/>
              <w:jc w:val="center"/>
              <w:rPr>
                <w:rFonts w:eastAsia="仿宋_GB2312"/>
                <w:sz w:val="24"/>
                <w:szCs w:val="24"/>
              </w:rPr>
            </w:pPr>
            <w:r w:rsidRPr="0013481E">
              <w:rPr>
                <w:rFonts w:eastAsia="仿宋_GB2312"/>
                <w:sz w:val="24"/>
                <w:szCs w:val="24"/>
              </w:rPr>
              <w:t>%</w:t>
            </w:r>
          </w:p>
        </w:tc>
        <w:tc>
          <w:tcPr>
            <w:tcW w:w="2365" w:type="dxa"/>
            <w:tcBorders>
              <w:bottom w:val="single" w:sz="12" w:space="0" w:color="000000" w:themeColor="text1"/>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100.5</w:t>
            </w:r>
          </w:p>
        </w:tc>
        <w:tc>
          <w:tcPr>
            <w:tcW w:w="1563" w:type="dxa"/>
            <w:tcBorders>
              <w:bottom w:val="single" w:sz="12" w:space="0" w:color="000000" w:themeColor="text1"/>
              <w:right w:val="nil"/>
            </w:tcBorders>
            <w:vAlign w:val="center"/>
          </w:tcPr>
          <w:p w:rsidR="00733ECA" w:rsidRPr="0013481E" w:rsidRDefault="00AA7B70" w:rsidP="00733ECA">
            <w:pPr>
              <w:spacing w:line="440" w:lineRule="exact"/>
              <w:jc w:val="center"/>
              <w:rPr>
                <w:rFonts w:eastAsia="仿宋_GB2312"/>
                <w:sz w:val="24"/>
                <w:szCs w:val="24"/>
              </w:rPr>
            </w:pPr>
            <w:r w:rsidRPr="0013481E">
              <w:rPr>
                <w:rFonts w:eastAsia="仿宋_GB2312"/>
                <w:sz w:val="24"/>
                <w:szCs w:val="24"/>
              </w:rPr>
              <w:t>0.5</w:t>
            </w:r>
          </w:p>
        </w:tc>
      </w:tr>
    </w:tbl>
    <w:p w:rsidR="003306DD" w:rsidRPr="0013481E" w:rsidRDefault="00183DBC" w:rsidP="00554432">
      <w:pPr>
        <w:spacing w:beforeLines="100" w:afterLines="50" w:line="540" w:lineRule="exact"/>
        <w:ind w:left="0" w:firstLineChars="200" w:firstLine="640"/>
        <w:rPr>
          <w:rFonts w:eastAsia="仿宋_GB2312"/>
          <w:spacing w:val="7"/>
          <w:sz w:val="32"/>
          <w:szCs w:val="32"/>
        </w:rPr>
      </w:pPr>
      <w:r w:rsidRPr="0013481E">
        <w:rPr>
          <w:rFonts w:eastAsia="仿宋_GB2312"/>
          <w:noProof/>
          <w:sz w:val="32"/>
          <w:szCs w:val="32"/>
        </w:rPr>
        <w:drawing>
          <wp:anchor distT="0" distB="0" distL="114300" distR="114300" simplePos="0" relativeHeight="251676672" behindDoc="0" locked="0" layoutInCell="1" allowOverlap="1">
            <wp:simplePos x="0" y="0"/>
            <wp:positionH relativeFrom="margin">
              <wp:posOffset>262255</wp:posOffset>
            </wp:positionH>
            <wp:positionV relativeFrom="paragraph">
              <wp:posOffset>4991100</wp:posOffset>
            </wp:positionV>
            <wp:extent cx="5476875" cy="3171825"/>
            <wp:effectExtent l="0" t="0" r="0" b="0"/>
            <wp:wrapTopAndBottom/>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E76FE" w:rsidRPr="0013481E">
        <w:rPr>
          <w:rFonts w:eastAsia="仿宋_GB2312"/>
          <w:sz w:val="32"/>
          <w:szCs w:val="32"/>
        </w:rPr>
        <w:t>2017</w:t>
      </w:r>
      <w:r w:rsidR="00CE76FE" w:rsidRPr="0013481E">
        <w:rPr>
          <w:rFonts w:eastAsia="仿宋_GB2312"/>
          <w:sz w:val="32"/>
          <w:szCs w:val="32"/>
        </w:rPr>
        <w:t>年</w:t>
      </w:r>
      <w:r w:rsidR="00522E75">
        <w:rPr>
          <w:rFonts w:eastAsia="仿宋_GB2312"/>
          <w:spacing w:val="-6"/>
          <w:sz w:val="32"/>
          <w:szCs w:val="32"/>
        </w:rPr>
        <w:t>，完成一般公共</w:t>
      </w:r>
      <w:r w:rsidR="00CE76FE" w:rsidRPr="0013481E">
        <w:rPr>
          <w:rFonts w:eastAsia="仿宋_GB2312"/>
          <w:spacing w:val="-6"/>
          <w:sz w:val="32"/>
          <w:szCs w:val="32"/>
        </w:rPr>
        <w:t>预算收入</w:t>
      </w:r>
      <w:r w:rsidR="00CE76FE" w:rsidRPr="0013481E">
        <w:rPr>
          <w:rFonts w:eastAsia="仿宋_GB2312"/>
          <w:spacing w:val="-6"/>
          <w:sz w:val="32"/>
          <w:szCs w:val="32"/>
        </w:rPr>
        <w:t>87978</w:t>
      </w:r>
      <w:r w:rsidR="00CE76FE" w:rsidRPr="0013481E">
        <w:rPr>
          <w:rFonts w:eastAsia="仿宋_GB2312"/>
          <w:sz w:val="32"/>
          <w:szCs w:val="32"/>
        </w:rPr>
        <w:t>万元，同比增长</w:t>
      </w:r>
      <w:r w:rsidR="00CE76FE" w:rsidRPr="0013481E">
        <w:rPr>
          <w:rFonts w:eastAsia="仿宋_GB2312"/>
          <w:sz w:val="32"/>
          <w:szCs w:val="32"/>
        </w:rPr>
        <w:t>10.04%</w:t>
      </w:r>
      <w:r w:rsidR="00CE76FE" w:rsidRPr="0013481E">
        <w:rPr>
          <w:rFonts w:eastAsia="仿宋_GB2312"/>
          <w:sz w:val="32"/>
          <w:szCs w:val="32"/>
        </w:rPr>
        <w:t>，其中税收收入完成</w:t>
      </w:r>
      <w:r w:rsidR="00CE76FE" w:rsidRPr="0013481E">
        <w:rPr>
          <w:rFonts w:eastAsia="仿宋_GB2312"/>
          <w:sz w:val="32"/>
          <w:szCs w:val="32"/>
        </w:rPr>
        <w:t>63390</w:t>
      </w:r>
      <w:r w:rsidR="00CE76FE" w:rsidRPr="0013481E">
        <w:rPr>
          <w:rFonts w:eastAsia="仿宋_GB2312"/>
          <w:sz w:val="32"/>
          <w:szCs w:val="32"/>
        </w:rPr>
        <w:t>万元，占一般公共预算收入的</w:t>
      </w:r>
      <w:r w:rsidR="00CE76FE" w:rsidRPr="0013481E">
        <w:rPr>
          <w:rFonts w:eastAsia="仿宋_GB2312"/>
          <w:sz w:val="32"/>
          <w:szCs w:val="32"/>
        </w:rPr>
        <w:t>72.05%;</w:t>
      </w:r>
      <w:r w:rsidR="00522E75">
        <w:rPr>
          <w:rFonts w:eastAsia="仿宋_GB2312" w:hint="eastAsia"/>
          <w:sz w:val="32"/>
          <w:szCs w:val="32"/>
        </w:rPr>
        <w:t>一般</w:t>
      </w:r>
      <w:r w:rsidR="00522E75">
        <w:rPr>
          <w:rFonts w:eastAsia="仿宋_GB2312"/>
          <w:spacing w:val="-6"/>
          <w:sz w:val="32"/>
          <w:szCs w:val="32"/>
        </w:rPr>
        <w:t>公共</w:t>
      </w:r>
      <w:r w:rsidR="00CE76FE" w:rsidRPr="0013481E">
        <w:rPr>
          <w:rFonts w:eastAsia="仿宋_GB2312"/>
          <w:spacing w:val="-6"/>
          <w:sz w:val="32"/>
          <w:szCs w:val="32"/>
        </w:rPr>
        <w:t>预算</w:t>
      </w:r>
      <w:r w:rsidR="00CE76FE" w:rsidRPr="0013481E">
        <w:rPr>
          <w:rFonts w:eastAsia="仿宋_GB2312"/>
          <w:sz w:val="32"/>
          <w:szCs w:val="32"/>
        </w:rPr>
        <w:t>支出</w:t>
      </w:r>
      <w:r w:rsidR="00CE76FE" w:rsidRPr="0013481E">
        <w:rPr>
          <w:rFonts w:eastAsia="仿宋_GB2312"/>
          <w:sz w:val="32"/>
          <w:szCs w:val="32"/>
        </w:rPr>
        <w:t>239970</w:t>
      </w:r>
      <w:r w:rsidR="00CE76FE" w:rsidRPr="0013481E">
        <w:rPr>
          <w:rFonts w:eastAsia="仿宋_GB2312"/>
          <w:sz w:val="32"/>
          <w:szCs w:val="32"/>
        </w:rPr>
        <w:t>万元，同比增长</w:t>
      </w:r>
      <w:r w:rsidR="00CE76FE" w:rsidRPr="0013481E">
        <w:rPr>
          <w:rFonts w:eastAsia="仿宋_GB2312"/>
          <w:sz w:val="32"/>
          <w:szCs w:val="32"/>
        </w:rPr>
        <w:t>7.05%</w:t>
      </w:r>
      <w:r w:rsidR="00CE76FE" w:rsidRPr="0013481E">
        <w:rPr>
          <w:rFonts w:eastAsia="仿宋_GB2312"/>
          <w:bCs/>
          <w:sz w:val="32"/>
          <w:szCs w:val="32"/>
        </w:rPr>
        <w:t>。</w:t>
      </w:r>
      <w:r w:rsidR="00CE76FE" w:rsidRPr="0013481E">
        <w:rPr>
          <w:rFonts w:eastAsia="仿宋_GB2312"/>
          <w:sz w:val="32"/>
          <w:szCs w:val="32"/>
        </w:rPr>
        <w:t>国、地税完成</w:t>
      </w:r>
      <w:r w:rsidR="00CE76FE" w:rsidRPr="0013481E">
        <w:rPr>
          <w:rFonts w:eastAsia="仿宋_GB2312"/>
          <w:sz w:val="32"/>
          <w:szCs w:val="32"/>
        </w:rPr>
        <w:lastRenderedPageBreak/>
        <w:t>税收</w:t>
      </w:r>
      <w:r w:rsidR="00CE76FE" w:rsidRPr="0013481E">
        <w:rPr>
          <w:rFonts w:eastAsia="仿宋_GB2312"/>
          <w:sz w:val="32"/>
          <w:szCs w:val="32"/>
        </w:rPr>
        <w:t>116613.56</w:t>
      </w:r>
      <w:r w:rsidR="00CE76FE" w:rsidRPr="0013481E">
        <w:rPr>
          <w:rFonts w:eastAsia="仿宋_GB2312"/>
          <w:sz w:val="32"/>
          <w:szCs w:val="32"/>
        </w:rPr>
        <w:t>万元，同比增长</w:t>
      </w:r>
      <w:r w:rsidR="00CE76FE" w:rsidRPr="0013481E">
        <w:rPr>
          <w:rFonts w:eastAsia="仿宋_GB2312"/>
          <w:sz w:val="32"/>
          <w:szCs w:val="32"/>
        </w:rPr>
        <w:t>24.23%</w:t>
      </w:r>
      <w:r w:rsidR="00CE76FE" w:rsidRPr="0013481E">
        <w:rPr>
          <w:rFonts w:eastAsia="仿宋_GB2312"/>
          <w:sz w:val="32"/>
          <w:szCs w:val="32"/>
        </w:rPr>
        <w:t>，其中地税收入</w:t>
      </w:r>
      <w:r w:rsidR="00CE76FE" w:rsidRPr="0013481E">
        <w:rPr>
          <w:rFonts w:eastAsia="仿宋_GB2312"/>
          <w:sz w:val="32"/>
          <w:szCs w:val="32"/>
        </w:rPr>
        <w:t>72451.31</w:t>
      </w:r>
      <w:r w:rsidR="00CE76FE" w:rsidRPr="0013481E">
        <w:rPr>
          <w:rFonts w:eastAsia="仿宋_GB2312"/>
          <w:sz w:val="32"/>
          <w:szCs w:val="32"/>
        </w:rPr>
        <w:t>万元，同比增长</w:t>
      </w:r>
      <w:r w:rsidR="00CE76FE" w:rsidRPr="0013481E">
        <w:rPr>
          <w:rFonts w:eastAsia="仿宋_GB2312"/>
          <w:sz w:val="32"/>
          <w:szCs w:val="32"/>
        </w:rPr>
        <w:t>20.08%</w:t>
      </w:r>
      <w:r w:rsidR="00CE76FE" w:rsidRPr="0013481E">
        <w:rPr>
          <w:rFonts w:eastAsia="仿宋_GB2312"/>
          <w:sz w:val="32"/>
          <w:szCs w:val="32"/>
        </w:rPr>
        <w:t>，</w:t>
      </w:r>
      <w:r w:rsidR="00CE76FE" w:rsidRPr="0013481E">
        <w:rPr>
          <w:rFonts w:eastAsia="仿宋_GB2312"/>
          <w:spacing w:val="7"/>
          <w:sz w:val="32"/>
          <w:szCs w:val="32"/>
        </w:rPr>
        <w:t>国税收入</w:t>
      </w:r>
      <w:r w:rsidR="00CE76FE" w:rsidRPr="0013481E">
        <w:rPr>
          <w:rFonts w:eastAsia="仿宋_GB2312"/>
          <w:spacing w:val="7"/>
          <w:sz w:val="32"/>
          <w:szCs w:val="32"/>
        </w:rPr>
        <w:t>44162.25</w:t>
      </w:r>
      <w:r w:rsidR="00CE76FE" w:rsidRPr="0013481E">
        <w:rPr>
          <w:rFonts w:eastAsia="仿宋_GB2312"/>
          <w:spacing w:val="7"/>
          <w:sz w:val="32"/>
          <w:szCs w:val="32"/>
        </w:rPr>
        <w:t>万元，</w:t>
      </w:r>
      <w:r w:rsidR="00F07408" w:rsidRPr="0013481E">
        <w:rPr>
          <w:rFonts w:eastAsia="仿宋_GB2312"/>
          <w:spacing w:val="7"/>
          <w:sz w:val="32"/>
          <w:szCs w:val="32"/>
        </w:rPr>
        <w:t>同</w:t>
      </w:r>
      <w:r w:rsidR="00CE76FE" w:rsidRPr="0013481E">
        <w:rPr>
          <w:rFonts w:eastAsia="仿宋_GB2312"/>
          <w:spacing w:val="7"/>
          <w:sz w:val="32"/>
          <w:szCs w:val="32"/>
        </w:rPr>
        <w:t>比增</w:t>
      </w:r>
      <w:r w:rsidR="00F07408" w:rsidRPr="0013481E">
        <w:rPr>
          <w:rFonts w:eastAsia="仿宋_GB2312"/>
          <w:spacing w:val="7"/>
          <w:sz w:val="32"/>
          <w:szCs w:val="32"/>
        </w:rPr>
        <w:t>长</w:t>
      </w:r>
      <w:r w:rsidR="00CE76FE" w:rsidRPr="0013481E">
        <w:rPr>
          <w:rFonts w:eastAsia="仿宋_GB2312"/>
          <w:spacing w:val="7"/>
          <w:sz w:val="32"/>
          <w:szCs w:val="32"/>
        </w:rPr>
        <w:t>31.69%</w:t>
      </w:r>
      <w:r w:rsidR="00CE76FE" w:rsidRPr="0013481E">
        <w:rPr>
          <w:rFonts w:eastAsia="仿宋_GB2312"/>
          <w:spacing w:val="7"/>
          <w:sz w:val="32"/>
          <w:szCs w:val="32"/>
        </w:rPr>
        <w:t>。</w:t>
      </w:r>
    </w:p>
    <w:p w:rsidR="009130F6" w:rsidRPr="0013481E" w:rsidRDefault="00183DBC" w:rsidP="00554432">
      <w:pPr>
        <w:spacing w:beforeLines="100" w:afterLines="50" w:line="540" w:lineRule="exact"/>
        <w:ind w:left="0" w:firstLineChars="200" w:firstLine="640"/>
        <w:rPr>
          <w:rFonts w:eastAsia="仿宋_GB2312"/>
          <w:sz w:val="32"/>
          <w:szCs w:val="32"/>
        </w:rPr>
      </w:pPr>
      <w:r w:rsidRPr="0013481E">
        <w:rPr>
          <w:rFonts w:eastAsia="仿宋_GB2312"/>
          <w:sz w:val="32"/>
          <w:szCs w:val="32"/>
        </w:rPr>
        <w:t>2017</w:t>
      </w:r>
      <w:r w:rsidRPr="0013481E">
        <w:rPr>
          <w:rFonts w:eastAsia="仿宋_GB2312"/>
          <w:sz w:val="32"/>
          <w:szCs w:val="32"/>
        </w:rPr>
        <w:t>年全县一般公共预算收入实现</w:t>
      </w:r>
      <w:r w:rsidRPr="0013481E">
        <w:rPr>
          <w:rFonts w:eastAsia="仿宋_GB2312"/>
          <w:spacing w:val="-6"/>
          <w:sz w:val="32"/>
          <w:szCs w:val="32"/>
        </w:rPr>
        <w:t>87978</w:t>
      </w:r>
      <w:r w:rsidRPr="0013481E">
        <w:rPr>
          <w:rFonts w:eastAsia="仿宋_GB2312"/>
          <w:sz w:val="32"/>
          <w:szCs w:val="32"/>
        </w:rPr>
        <w:t>万元，比</w:t>
      </w:r>
      <w:r w:rsidRPr="0013481E">
        <w:rPr>
          <w:rFonts w:eastAsia="仿宋_GB2312"/>
          <w:sz w:val="32"/>
          <w:szCs w:val="32"/>
        </w:rPr>
        <w:t>2012</w:t>
      </w:r>
      <w:r w:rsidRPr="0013481E">
        <w:rPr>
          <w:rFonts w:eastAsia="仿宋_GB2312"/>
          <w:sz w:val="32"/>
          <w:szCs w:val="32"/>
        </w:rPr>
        <w:t>年</w:t>
      </w:r>
      <w:r w:rsidR="00522E75">
        <w:rPr>
          <w:rFonts w:eastAsia="仿宋_GB2312" w:hint="eastAsia"/>
          <w:sz w:val="32"/>
          <w:szCs w:val="32"/>
        </w:rPr>
        <w:t>35152</w:t>
      </w:r>
      <w:r w:rsidR="00522E75">
        <w:rPr>
          <w:rFonts w:eastAsia="仿宋_GB2312" w:hint="eastAsia"/>
          <w:sz w:val="32"/>
          <w:szCs w:val="32"/>
        </w:rPr>
        <w:t>万元</w:t>
      </w:r>
      <w:r w:rsidRPr="0013481E">
        <w:rPr>
          <w:rFonts w:eastAsia="仿宋_GB2312"/>
          <w:sz w:val="32"/>
          <w:szCs w:val="32"/>
        </w:rPr>
        <w:t>多</w:t>
      </w:r>
      <w:r w:rsidRPr="0013481E">
        <w:rPr>
          <w:rFonts w:eastAsia="仿宋_GB2312"/>
          <w:sz w:val="32"/>
          <w:szCs w:val="32"/>
        </w:rPr>
        <w:t>52826</w:t>
      </w:r>
      <w:r w:rsidRPr="0013481E">
        <w:rPr>
          <w:rFonts w:eastAsia="仿宋_GB2312"/>
          <w:sz w:val="32"/>
          <w:szCs w:val="32"/>
        </w:rPr>
        <w:t>万元，比</w:t>
      </w:r>
      <w:r w:rsidRPr="0013481E">
        <w:rPr>
          <w:rFonts w:eastAsia="仿宋_GB2312"/>
          <w:sz w:val="32"/>
          <w:szCs w:val="32"/>
        </w:rPr>
        <w:t>2012</w:t>
      </w:r>
      <w:r w:rsidRPr="0013481E">
        <w:rPr>
          <w:rFonts w:eastAsia="仿宋_GB2312"/>
          <w:sz w:val="32"/>
          <w:szCs w:val="32"/>
        </w:rPr>
        <w:t>年增长</w:t>
      </w:r>
      <w:r w:rsidRPr="0013481E">
        <w:rPr>
          <w:rFonts w:eastAsia="仿宋_GB2312"/>
          <w:sz w:val="32"/>
          <w:szCs w:val="32"/>
        </w:rPr>
        <w:t>150.3%</w:t>
      </w:r>
      <w:r w:rsidRPr="0013481E">
        <w:rPr>
          <w:rFonts w:eastAsia="仿宋_GB2312"/>
          <w:sz w:val="32"/>
          <w:szCs w:val="32"/>
        </w:rPr>
        <w:t>，</w:t>
      </w:r>
      <w:r w:rsidR="001D7BEA" w:rsidRPr="0013481E">
        <w:rPr>
          <w:rFonts w:eastAsia="仿宋_GB2312"/>
          <w:sz w:val="32"/>
          <w:szCs w:val="32"/>
        </w:rPr>
        <w:t>五</w:t>
      </w:r>
      <w:r w:rsidRPr="0013481E">
        <w:rPr>
          <w:rFonts w:eastAsia="仿宋_GB2312"/>
          <w:sz w:val="32"/>
          <w:szCs w:val="32"/>
        </w:rPr>
        <w:t>年年均增长</w:t>
      </w:r>
      <w:r w:rsidR="009130F6" w:rsidRPr="0013481E">
        <w:rPr>
          <w:rFonts w:eastAsia="仿宋_GB2312"/>
          <w:sz w:val="32"/>
          <w:szCs w:val="32"/>
        </w:rPr>
        <w:t>20.1</w:t>
      </w:r>
      <w:r w:rsidRPr="0013481E">
        <w:rPr>
          <w:rFonts w:eastAsia="仿宋_GB2312"/>
          <w:sz w:val="32"/>
          <w:szCs w:val="32"/>
        </w:rPr>
        <w:t>%</w:t>
      </w:r>
      <w:r w:rsidR="009130F6" w:rsidRPr="0013481E">
        <w:rPr>
          <w:rFonts w:eastAsia="仿宋_GB2312"/>
          <w:sz w:val="32"/>
          <w:szCs w:val="32"/>
        </w:rPr>
        <w:t>。</w:t>
      </w:r>
    </w:p>
    <w:p w:rsidR="009130F6" w:rsidRPr="0013481E" w:rsidRDefault="009130F6" w:rsidP="00554432">
      <w:pPr>
        <w:spacing w:beforeLines="100" w:afterLines="50" w:line="540" w:lineRule="exact"/>
        <w:ind w:left="0" w:firstLineChars="200" w:firstLine="640"/>
        <w:rPr>
          <w:rFonts w:eastAsia="仿宋_GB2312"/>
          <w:sz w:val="32"/>
          <w:szCs w:val="32"/>
        </w:rPr>
      </w:pPr>
      <w:r w:rsidRPr="0013481E">
        <w:rPr>
          <w:rFonts w:eastAsia="仿宋_GB2312"/>
          <w:noProof/>
          <w:sz w:val="32"/>
          <w:szCs w:val="32"/>
        </w:rPr>
        <w:drawing>
          <wp:anchor distT="0" distB="0" distL="114300" distR="114300" simplePos="0" relativeHeight="251678720" behindDoc="0" locked="0" layoutInCell="1" allowOverlap="1">
            <wp:simplePos x="0" y="0"/>
            <wp:positionH relativeFrom="margin">
              <wp:posOffset>62230</wp:posOffset>
            </wp:positionH>
            <wp:positionV relativeFrom="paragraph">
              <wp:posOffset>219075</wp:posOffset>
            </wp:positionV>
            <wp:extent cx="5591175" cy="3248025"/>
            <wp:effectExtent l="0" t="0" r="0" b="0"/>
            <wp:wrapTopAndBottom/>
            <wp:docPr id="9"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E4B61" w:rsidRPr="0013481E" w:rsidRDefault="005E4B61" w:rsidP="00554432">
      <w:pPr>
        <w:spacing w:afterLines="50" w:line="540" w:lineRule="exact"/>
        <w:ind w:left="0" w:firstLineChars="200" w:firstLine="640"/>
        <w:rPr>
          <w:rFonts w:eastAsia="仿宋_GB2312"/>
          <w:sz w:val="32"/>
          <w:szCs w:val="32"/>
        </w:rPr>
      </w:pPr>
      <w:r w:rsidRPr="0013481E">
        <w:rPr>
          <w:rFonts w:eastAsia="仿宋_GB2312"/>
          <w:sz w:val="32"/>
          <w:szCs w:val="32"/>
        </w:rPr>
        <w:t>年末城镇登记人口失业人员</w:t>
      </w:r>
      <w:r w:rsidR="00E162CC" w:rsidRPr="0013481E">
        <w:rPr>
          <w:rFonts w:eastAsia="仿宋_GB2312"/>
          <w:sz w:val="32"/>
          <w:szCs w:val="32"/>
        </w:rPr>
        <w:t>1347</w:t>
      </w:r>
      <w:r w:rsidR="00220BAF" w:rsidRPr="0013481E">
        <w:rPr>
          <w:rFonts w:eastAsia="仿宋_GB2312"/>
          <w:sz w:val="32"/>
          <w:szCs w:val="32"/>
        </w:rPr>
        <w:t>人，城镇新增就业人数</w:t>
      </w:r>
      <w:r w:rsidR="00220BAF" w:rsidRPr="0013481E">
        <w:rPr>
          <w:rFonts w:eastAsia="仿宋_GB2312"/>
          <w:sz w:val="32"/>
          <w:szCs w:val="32"/>
        </w:rPr>
        <w:t>2807</w:t>
      </w:r>
      <w:r w:rsidR="00220BAF" w:rsidRPr="0013481E">
        <w:rPr>
          <w:rFonts w:eastAsia="仿宋_GB2312"/>
          <w:sz w:val="32"/>
          <w:szCs w:val="32"/>
        </w:rPr>
        <w:t>人，</w:t>
      </w:r>
      <w:r w:rsidRPr="0013481E">
        <w:rPr>
          <w:rFonts w:eastAsia="仿宋_GB2312"/>
          <w:sz w:val="32"/>
          <w:szCs w:val="32"/>
        </w:rPr>
        <w:t>登记失业率</w:t>
      </w:r>
      <w:r w:rsidRPr="0013481E">
        <w:rPr>
          <w:rFonts w:eastAsia="仿宋_GB2312"/>
          <w:sz w:val="32"/>
          <w:szCs w:val="32"/>
        </w:rPr>
        <w:t>2.4</w:t>
      </w:r>
      <w:r w:rsidR="00591432" w:rsidRPr="0013481E">
        <w:rPr>
          <w:rFonts w:eastAsia="仿宋_GB2312"/>
          <w:sz w:val="32"/>
          <w:szCs w:val="32"/>
        </w:rPr>
        <w:t>6</w:t>
      </w:r>
      <w:r w:rsidRPr="0013481E">
        <w:rPr>
          <w:rFonts w:eastAsia="仿宋_GB2312"/>
          <w:sz w:val="32"/>
          <w:szCs w:val="32"/>
        </w:rPr>
        <w:t>%</w:t>
      </w:r>
      <w:r w:rsidRPr="0013481E">
        <w:rPr>
          <w:rFonts w:eastAsia="仿宋_GB2312"/>
          <w:sz w:val="32"/>
          <w:szCs w:val="32"/>
        </w:rPr>
        <w:t>，</w:t>
      </w:r>
      <w:r w:rsidR="00591432" w:rsidRPr="0013481E">
        <w:rPr>
          <w:rFonts w:eastAsia="仿宋_GB2312"/>
          <w:sz w:val="32"/>
          <w:szCs w:val="32"/>
        </w:rPr>
        <w:t>就业困难</w:t>
      </w:r>
      <w:r w:rsidRPr="0013481E">
        <w:rPr>
          <w:rFonts w:eastAsia="仿宋_GB2312"/>
          <w:sz w:val="32"/>
          <w:szCs w:val="32"/>
        </w:rPr>
        <w:t>人员实现再就业</w:t>
      </w:r>
      <w:r w:rsidR="00591432" w:rsidRPr="0013481E">
        <w:rPr>
          <w:rFonts w:eastAsia="仿宋_GB2312"/>
          <w:sz w:val="32"/>
          <w:szCs w:val="32"/>
        </w:rPr>
        <w:t>212</w:t>
      </w:r>
      <w:r w:rsidRPr="0013481E">
        <w:rPr>
          <w:rFonts w:eastAsia="仿宋_GB2312"/>
          <w:sz w:val="32"/>
          <w:szCs w:val="32"/>
        </w:rPr>
        <w:t>人。</w:t>
      </w:r>
    </w:p>
    <w:p w:rsidR="00733ECA" w:rsidRPr="0013481E" w:rsidRDefault="00733ECA" w:rsidP="00554432">
      <w:pPr>
        <w:spacing w:afterLines="50" w:line="540" w:lineRule="exact"/>
        <w:ind w:left="0" w:firstLineChars="200" w:firstLine="640"/>
        <w:rPr>
          <w:rFonts w:eastAsia="仿宋_GB2312"/>
          <w:sz w:val="32"/>
          <w:szCs w:val="32"/>
        </w:rPr>
      </w:pPr>
      <w:r w:rsidRPr="0013481E">
        <w:rPr>
          <w:rFonts w:eastAsia="仿宋_GB2312"/>
          <w:sz w:val="32"/>
          <w:szCs w:val="32"/>
        </w:rPr>
        <w:t>虽然当前</w:t>
      </w:r>
      <w:r w:rsidR="00CE76FE" w:rsidRPr="0013481E">
        <w:rPr>
          <w:rFonts w:eastAsia="仿宋_GB2312"/>
          <w:sz w:val="32"/>
          <w:szCs w:val="32"/>
        </w:rPr>
        <w:t>蕉岭县</w:t>
      </w:r>
      <w:r w:rsidRPr="0013481E">
        <w:rPr>
          <w:rFonts w:eastAsia="仿宋_GB2312"/>
          <w:sz w:val="32"/>
          <w:szCs w:val="32"/>
        </w:rPr>
        <w:t>经济社会</w:t>
      </w:r>
      <w:r w:rsidR="00CE76FE" w:rsidRPr="0013481E">
        <w:rPr>
          <w:rFonts w:eastAsia="仿宋_GB2312"/>
          <w:sz w:val="32"/>
          <w:szCs w:val="32"/>
        </w:rPr>
        <w:t>取得高质量健康发展</w:t>
      </w:r>
      <w:r w:rsidR="00907EE9" w:rsidRPr="0013481E">
        <w:rPr>
          <w:rFonts w:eastAsia="仿宋_GB2312"/>
          <w:sz w:val="32"/>
          <w:szCs w:val="32"/>
        </w:rPr>
        <w:t>，但也存在不少困难和问题：经济总量小，产业结构不够合理；</w:t>
      </w:r>
      <w:r w:rsidR="009E72B8" w:rsidRPr="0013481E">
        <w:rPr>
          <w:rFonts w:eastAsia="仿宋_GB2312"/>
          <w:sz w:val="32"/>
          <w:szCs w:val="32"/>
        </w:rPr>
        <w:t>企业总体上规模偏小、大型骨干企业少，新型建材产业总量不够大、产业链条不够完整，长寿健康产业基础还不厚实，发展水平不高</w:t>
      </w:r>
      <w:r w:rsidR="00C6126B" w:rsidRPr="0013481E">
        <w:rPr>
          <w:rFonts w:eastAsia="仿宋_GB2312"/>
          <w:sz w:val="32"/>
          <w:szCs w:val="32"/>
        </w:rPr>
        <w:t>；</w:t>
      </w:r>
      <w:r w:rsidR="00907EE9" w:rsidRPr="0013481E">
        <w:rPr>
          <w:rFonts w:eastAsia="仿宋_GB2312"/>
          <w:sz w:val="32"/>
          <w:szCs w:val="32"/>
        </w:rPr>
        <w:t>企业生产要素成本上升与自主创新能力不足的矛盾更加凸显；经济增长</w:t>
      </w:r>
      <w:r w:rsidR="00907EE9" w:rsidRPr="0013481E">
        <w:rPr>
          <w:rFonts w:eastAsia="仿宋_GB2312"/>
          <w:sz w:val="32"/>
          <w:szCs w:val="32"/>
        </w:rPr>
        <w:lastRenderedPageBreak/>
        <w:t>内生动力不足；消费需求增长偏弱；财政收支平衡压力大，率先全面建成小康社会特别是民生社会事业仍存在一些短板，基本公共服务均等化有待加强；劳动就业和保障民生任务</w:t>
      </w:r>
      <w:r w:rsidR="006838CB" w:rsidRPr="0013481E">
        <w:rPr>
          <w:rFonts w:eastAsia="仿宋_GB2312"/>
          <w:sz w:val="32"/>
          <w:szCs w:val="32"/>
        </w:rPr>
        <w:t>有待改善</w:t>
      </w:r>
      <w:r w:rsidR="00907EE9" w:rsidRPr="0013481E">
        <w:rPr>
          <w:rFonts w:eastAsia="仿宋_GB2312"/>
          <w:sz w:val="32"/>
          <w:szCs w:val="32"/>
        </w:rPr>
        <w:t>。</w:t>
      </w:r>
    </w:p>
    <w:p w:rsidR="00907EE9" w:rsidRPr="0013481E" w:rsidRDefault="00F07408" w:rsidP="00554432">
      <w:pPr>
        <w:spacing w:afterLines="50" w:line="540" w:lineRule="exact"/>
        <w:ind w:left="0" w:firstLineChars="200" w:firstLine="640"/>
        <w:rPr>
          <w:rFonts w:eastAsia="仿宋_GB2312"/>
          <w:sz w:val="32"/>
          <w:szCs w:val="32"/>
        </w:rPr>
      </w:pPr>
      <w:r w:rsidRPr="0013481E">
        <w:rPr>
          <w:rFonts w:eastAsia="仿宋_GB2312"/>
          <w:sz w:val="32"/>
          <w:szCs w:val="32"/>
        </w:rPr>
        <w:t>2018</w:t>
      </w:r>
      <w:r w:rsidRPr="0013481E">
        <w:rPr>
          <w:rFonts w:eastAsia="仿宋_GB2312"/>
          <w:sz w:val="32"/>
          <w:szCs w:val="32"/>
        </w:rPr>
        <w:t>年，是全面贯彻落实党的十九大精神的开局之年，是改革开放</w:t>
      </w:r>
      <w:r w:rsidRPr="0013481E">
        <w:rPr>
          <w:rFonts w:eastAsia="仿宋_GB2312"/>
          <w:sz w:val="32"/>
          <w:szCs w:val="32"/>
        </w:rPr>
        <w:t>40</w:t>
      </w:r>
      <w:r w:rsidRPr="0013481E">
        <w:rPr>
          <w:rFonts w:eastAsia="仿宋_GB2312"/>
          <w:sz w:val="32"/>
          <w:szCs w:val="32"/>
        </w:rPr>
        <w:t>周年，是决胜全面建成小康社会、实施</w:t>
      </w:r>
      <w:r w:rsidRPr="0013481E">
        <w:rPr>
          <w:rFonts w:eastAsia="仿宋_GB2312"/>
          <w:sz w:val="32"/>
          <w:szCs w:val="32"/>
        </w:rPr>
        <w:t>“</w:t>
      </w:r>
      <w:r w:rsidRPr="0013481E">
        <w:rPr>
          <w:rFonts w:eastAsia="仿宋_GB2312"/>
          <w:sz w:val="32"/>
          <w:szCs w:val="32"/>
        </w:rPr>
        <w:t>十三五</w:t>
      </w:r>
      <w:r w:rsidRPr="0013481E">
        <w:rPr>
          <w:rFonts w:eastAsia="仿宋_GB2312"/>
          <w:sz w:val="32"/>
          <w:szCs w:val="32"/>
        </w:rPr>
        <w:t>”</w:t>
      </w:r>
      <w:r w:rsidRPr="0013481E">
        <w:rPr>
          <w:rFonts w:eastAsia="仿宋_GB2312"/>
          <w:sz w:val="32"/>
          <w:szCs w:val="32"/>
        </w:rPr>
        <w:t>规划承上启下的关键一年。</w:t>
      </w:r>
      <w:r w:rsidRPr="0013481E">
        <w:rPr>
          <w:rFonts w:eastAsia="仿宋_GB2312"/>
          <w:spacing w:val="-2"/>
          <w:sz w:val="32"/>
          <w:szCs w:val="32"/>
        </w:rPr>
        <w:t>在县委、县政府</w:t>
      </w:r>
      <w:r w:rsidRPr="0013481E">
        <w:rPr>
          <w:rFonts w:eastAsia="仿宋_GB2312"/>
          <w:sz w:val="32"/>
          <w:szCs w:val="32"/>
        </w:rPr>
        <w:t>的正确领导下，</w:t>
      </w:r>
      <w:r w:rsidR="0015125D" w:rsidRPr="0013481E">
        <w:rPr>
          <w:rFonts w:eastAsia="仿宋_GB2312"/>
          <w:sz w:val="32"/>
          <w:szCs w:val="32"/>
        </w:rPr>
        <w:t>各级各部门要以习近平新时代中国特色社会主义思想为指引，以建设</w:t>
      </w:r>
      <w:r w:rsidR="0015125D" w:rsidRPr="0013481E">
        <w:rPr>
          <w:rFonts w:eastAsia="仿宋_GB2312"/>
          <w:sz w:val="32"/>
          <w:szCs w:val="32"/>
        </w:rPr>
        <w:t>“</w:t>
      </w:r>
      <w:r w:rsidR="0015125D" w:rsidRPr="0013481E">
        <w:rPr>
          <w:rFonts w:eastAsia="仿宋_GB2312"/>
          <w:sz w:val="32"/>
          <w:szCs w:val="32"/>
        </w:rPr>
        <w:t>世界寿乡</w:t>
      </w:r>
      <w:r w:rsidR="0015125D" w:rsidRPr="0013481E">
        <w:rPr>
          <w:rFonts w:eastAsia="仿宋_GB2312"/>
          <w:sz w:val="32"/>
          <w:szCs w:val="32"/>
        </w:rPr>
        <w:t>•</w:t>
      </w:r>
      <w:r w:rsidR="0015125D" w:rsidRPr="0013481E">
        <w:rPr>
          <w:rFonts w:eastAsia="仿宋_GB2312"/>
          <w:sz w:val="32"/>
          <w:szCs w:val="32"/>
        </w:rPr>
        <w:t>富美蕉岭</w:t>
      </w:r>
      <w:r w:rsidR="0015125D" w:rsidRPr="0013481E">
        <w:rPr>
          <w:rFonts w:eastAsia="仿宋_GB2312"/>
          <w:sz w:val="32"/>
          <w:szCs w:val="32"/>
        </w:rPr>
        <w:t>”</w:t>
      </w:r>
      <w:r w:rsidR="0015125D" w:rsidRPr="0013481E">
        <w:rPr>
          <w:rFonts w:eastAsia="仿宋_GB2312"/>
          <w:sz w:val="32"/>
          <w:szCs w:val="32"/>
        </w:rPr>
        <w:t>为目标，紧紧围绕加快构建</w:t>
      </w:r>
      <w:r w:rsidR="0015125D" w:rsidRPr="0013481E">
        <w:rPr>
          <w:rFonts w:eastAsia="仿宋_GB2312"/>
          <w:sz w:val="32"/>
          <w:szCs w:val="32"/>
        </w:rPr>
        <w:t>“</w:t>
      </w:r>
      <w:r w:rsidR="0015125D" w:rsidRPr="0013481E">
        <w:rPr>
          <w:rFonts w:eastAsia="仿宋_GB2312"/>
          <w:sz w:val="32"/>
          <w:szCs w:val="32"/>
        </w:rPr>
        <w:t>一城两业三组团</w:t>
      </w:r>
      <w:r w:rsidR="0015125D" w:rsidRPr="0013481E">
        <w:rPr>
          <w:rFonts w:eastAsia="仿宋_GB2312"/>
          <w:sz w:val="32"/>
          <w:szCs w:val="32"/>
        </w:rPr>
        <w:t>”</w:t>
      </w:r>
      <w:r w:rsidR="0015125D" w:rsidRPr="0013481E">
        <w:rPr>
          <w:rFonts w:eastAsia="仿宋_GB2312"/>
          <w:sz w:val="32"/>
          <w:szCs w:val="32"/>
        </w:rPr>
        <w:t>发展新格局，立足粤北生态发展区的功能定位，以生态优先和绿色发展为引领，推动生态富民强县，以发展实体经济为重点，加快创新驱动和有效投资，着力延长新型建材产业链条，加快富硒产业和特色小镇建设，力促长寿健康产业在三次产业上融合壮大，全力补齐社会民生短板。为推动全县经济高质量健康发展，实现广东</w:t>
      </w:r>
      <w:r w:rsidR="0015125D" w:rsidRPr="0013481E">
        <w:rPr>
          <w:rFonts w:eastAsia="仿宋_GB2312"/>
          <w:sz w:val="32"/>
          <w:szCs w:val="32"/>
        </w:rPr>
        <w:t>“</w:t>
      </w:r>
      <w:r w:rsidR="0015125D" w:rsidRPr="0013481E">
        <w:rPr>
          <w:rFonts w:eastAsia="仿宋_GB2312"/>
          <w:sz w:val="32"/>
          <w:szCs w:val="32"/>
        </w:rPr>
        <w:t>四个走在全国前列</w:t>
      </w:r>
      <w:r w:rsidR="0015125D" w:rsidRPr="0013481E">
        <w:rPr>
          <w:rFonts w:eastAsia="仿宋_GB2312"/>
          <w:sz w:val="32"/>
          <w:szCs w:val="32"/>
        </w:rPr>
        <w:t>”</w:t>
      </w:r>
      <w:r w:rsidR="0015125D" w:rsidRPr="0013481E">
        <w:rPr>
          <w:rFonts w:eastAsia="仿宋_GB2312"/>
          <w:sz w:val="32"/>
          <w:szCs w:val="32"/>
        </w:rPr>
        <w:t>而努力奋斗。</w:t>
      </w:r>
    </w:p>
    <w:p w:rsidR="00FA3E3F"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二、农</w:t>
      </w:r>
      <w:r w:rsidR="004D7060" w:rsidRPr="0013481E">
        <w:rPr>
          <w:rFonts w:eastAsia="黑体"/>
          <w:sz w:val="32"/>
          <w:szCs w:val="32"/>
        </w:rPr>
        <w:t xml:space="preserve"> </w:t>
      </w:r>
      <w:r w:rsidRPr="0013481E">
        <w:rPr>
          <w:rFonts w:eastAsia="黑体" w:hAnsi="黑体"/>
          <w:sz w:val="32"/>
          <w:szCs w:val="32"/>
        </w:rPr>
        <w:t>业</w:t>
      </w:r>
    </w:p>
    <w:p w:rsidR="0045587F" w:rsidRPr="0013481E" w:rsidRDefault="00851635" w:rsidP="00554432">
      <w:pPr>
        <w:spacing w:beforeLines="50" w:afterLines="50" w:line="580" w:lineRule="exact"/>
        <w:ind w:firstLine="601"/>
        <w:rPr>
          <w:rFonts w:eastAsia="仿宋_GB2312"/>
          <w:sz w:val="32"/>
          <w:szCs w:val="32"/>
        </w:rPr>
      </w:pPr>
      <w:r w:rsidRPr="0013481E">
        <w:rPr>
          <w:rFonts w:eastAsia="仿宋_GB2312"/>
          <w:sz w:val="32"/>
          <w:szCs w:val="32"/>
        </w:rPr>
        <w:t>全</w:t>
      </w:r>
      <w:r w:rsidR="00FA3E3F" w:rsidRPr="0013481E">
        <w:rPr>
          <w:rFonts w:eastAsia="仿宋_GB2312"/>
          <w:sz w:val="32"/>
          <w:szCs w:val="32"/>
        </w:rPr>
        <w:t>年全县实现农业总产值</w:t>
      </w:r>
      <w:r w:rsidR="00A1688A" w:rsidRPr="0013481E">
        <w:rPr>
          <w:rFonts w:eastAsia="仿宋_GB2312"/>
          <w:sz w:val="32"/>
          <w:szCs w:val="32"/>
        </w:rPr>
        <w:t>210149</w:t>
      </w:r>
      <w:r w:rsidR="00FA3E3F" w:rsidRPr="0013481E">
        <w:rPr>
          <w:rFonts w:eastAsia="仿宋_GB2312"/>
          <w:sz w:val="32"/>
          <w:szCs w:val="32"/>
        </w:rPr>
        <w:t>万元，比上年增长</w:t>
      </w:r>
      <w:r w:rsidR="00A1688A" w:rsidRPr="0013481E">
        <w:rPr>
          <w:rFonts w:eastAsia="仿宋_GB2312"/>
          <w:sz w:val="32"/>
          <w:szCs w:val="32"/>
        </w:rPr>
        <w:t>3.6</w:t>
      </w:r>
      <w:r w:rsidR="00FA3E3F" w:rsidRPr="0013481E">
        <w:rPr>
          <w:rFonts w:eastAsia="仿宋_GB2312"/>
          <w:sz w:val="32"/>
          <w:szCs w:val="32"/>
        </w:rPr>
        <w:t>%</w:t>
      </w:r>
      <w:r w:rsidR="00FA3E3F" w:rsidRPr="0013481E">
        <w:rPr>
          <w:rFonts w:eastAsia="仿宋_GB2312"/>
          <w:sz w:val="32"/>
          <w:szCs w:val="32"/>
        </w:rPr>
        <w:t>。</w:t>
      </w:r>
      <w:r w:rsidR="00EA4C5D" w:rsidRPr="0013481E">
        <w:rPr>
          <w:rFonts w:eastAsia="仿宋_GB2312"/>
          <w:sz w:val="32"/>
          <w:szCs w:val="32"/>
        </w:rPr>
        <w:t>其中种植业产值</w:t>
      </w:r>
      <w:r w:rsidR="00A1688A" w:rsidRPr="0013481E">
        <w:rPr>
          <w:rFonts w:eastAsia="仿宋_GB2312"/>
          <w:sz w:val="32"/>
          <w:szCs w:val="32"/>
        </w:rPr>
        <w:t>106259</w:t>
      </w:r>
      <w:r w:rsidR="00EA4C5D" w:rsidRPr="0013481E">
        <w:rPr>
          <w:rFonts w:eastAsia="仿宋_GB2312"/>
          <w:sz w:val="32"/>
          <w:szCs w:val="32"/>
        </w:rPr>
        <w:t>万元，比上年增长</w:t>
      </w:r>
      <w:r w:rsidR="00EA4C5D" w:rsidRPr="0013481E">
        <w:rPr>
          <w:rFonts w:eastAsia="仿宋_GB2312"/>
          <w:sz w:val="32"/>
          <w:szCs w:val="32"/>
        </w:rPr>
        <w:t>4.</w:t>
      </w:r>
      <w:r w:rsidR="00A1688A" w:rsidRPr="0013481E">
        <w:rPr>
          <w:rFonts w:eastAsia="仿宋_GB2312"/>
          <w:sz w:val="32"/>
          <w:szCs w:val="32"/>
        </w:rPr>
        <w:t>0</w:t>
      </w:r>
      <w:r w:rsidR="00EA4C5D" w:rsidRPr="0013481E">
        <w:rPr>
          <w:rFonts w:eastAsia="仿宋_GB2312"/>
          <w:sz w:val="32"/>
          <w:szCs w:val="32"/>
        </w:rPr>
        <w:t>%;</w:t>
      </w:r>
      <w:r w:rsidR="00EA4C5D" w:rsidRPr="0013481E">
        <w:rPr>
          <w:rFonts w:eastAsia="仿宋_GB2312"/>
          <w:sz w:val="32"/>
          <w:szCs w:val="32"/>
        </w:rPr>
        <w:t>林业产值</w:t>
      </w:r>
      <w:r w:rsidR="00A1688A" w:rsidRPr="0013481E">
        <w:rPr>
          <w:rFonts w:eastAsia="仿宋_GB2312"/>
          <w:sz w:val="32"/>
          <w:szCs w:val="32"/>
        </w:rPr>
        <w:t>35098</w:t>
      </w:r>
      <w:r w:rsidR="00EA4C5D" w:rsidRPr="0013481E">
        <w:rPr>
          <w:rFonts w:eastAsia="仿宋_GB2312"/>
          <w:sz w:val="32"/>
          <w:szCs w:val="32"/>
        </w:rPr>
        <w:t>万元</w:t>
      </w:r>
      <w:r w:rsidR="00EA4C5D" w:rsidRPr="0013481E">
        <w:rPr>
          <w:rFonts w:eastAsia="仿宋_GB2312"/>
          <w:sz w:val="32"/>
          <w:szCs w:val="32"/>
        </w:rPr>
        <w:t>,</w:t>
      </w:r>
      <w:r w:rsidR="00EA4C5D" w:rsidRPr="0013481E">
        <w:rPr>
          <w:rFonts w:eastAsia="仿宋_GB2312"/>
          <w:sz w:val="32"/>
          <w:szCs w:val="32"/>
        </w:rPr>
        <w:t>增长</w:t>
      </w:r>
      <w:r w:rsidR="00A1688A" w:rsidRPr="0013481E">
        <w:rPr>
          <w:rFonts w:eastAsia="仿宋_GB2312"/>
          <w:sz w:val="32"/>
          <w:szCs w:val="32"/>
        </w:rPr>
        <w:t>8.4</w:t>
      </w:r>
      <w:r w:rsidR="00EA4C5D" w:rsidRPr="0013481E">
        <w:rPr>
          <w:rFonts w:eastAsia="仿宋_GB2312"/>
          <w:sz w:val="32"/>
          <w:szCs w:val="32"/>
        </w:rPr>
        <w:t>%;</w:t>
      </w:r>
      <w:r w:rsidR="00EA4C5D" w:rsidRPr="0013481E">
        <w:rPr>
          <w:rFonts w:eastAsia="仿宋_GB2312"/>
          <w:sz w:val="32"/>
          <w:szCs w:val="32"/>
        </w:rPr>
        <w:t>牧业产值</w:t>
      </w:r>
      <w:r w:rsidR="00A1688A" w:rsidRPr="0013481E">
        <w:rPr>
          <w:rFonts w:eastAsia="仿宋_GB2312"/>
          <w:sz w:val="32"/>
          <w:szCs w:val="32"/>
        </w:rPr>
        <w:t>57105</w:t>
      </w:r>
      <w:r w:rsidR="00EA4C5D" w:rsidRPr="0013481E">
        <w:rPr>
          <w:rFonts w:eastAsia="仿宋_GB2312"/>
          <w:sz w:val="32"/>
          <w:szCs w:val="32"/>
        </w:rPr>
        <w:t>万元</w:t>
      </w:r>
      <w:r w:rsidR="00EA4C5D" w:rsidRPr="0013481E">
        <w:rPr>
          <w:rFonts w:eastAsia="仿宋_GB2312"/>
          <w:sz w:val="32"/>
          <w:szCs w:val="32"/>
        </w:rPr>
        <w:t>,</w:t>
      </w:r>
      <w:r w:rsidR="00EA4C5D" w:rsidRPr="0013481E">
        <w:rPr>
          <w:rFonts w:eastAsia="仿宋_GB2312"/>
          <w:sz w:val="32"/>
          <w:szCs w:val="32"/>
        </w:rPr>
        <w:t>增长</w:t>
      </w:r>
      <w:r w:rsidR="00A1688A" w:rsidRPr="0013481E">
        <w:rPr>
          <w:rFonts w:eastAsia="仿宋_GB2312"/>
          <w:sz w:val="32"/>
          <w:szCs w:val="32"/>
        </w:rPr>
        <w:t>0.2</w:t>
      </w:r>
      <w:r w:rsidR="00EA4C5D" w:rsidRPr="0013481E">
        <w:rPr>
          <w:rFonts w:eastAsia="仿宋_GB2312"/>
          <w:sz w:val="32"/>
          <w:szCs w:val="32"/>
        </w:rPr>
        <w:t>%;</w:t>
      </w:r>
      <w:r w:rsidR="00EA4C5D" w:rsidRPr="0013481E">
        <w:rPr>
          <w:rFonts w:eastAsia="仿宋_GB2312"/>
          <w:sz w:val="32"/>
          <w:szCs w:val="32"/>
        </w:rPr>
        <w:t>渔业产值</w:t>
      </w:r>
      <w:r w:rsidR="00A1688A" w:rsidRPr="0013481E">
        <w:rPr>
          <w:rFonts w:eastAsia="仿宋_GB2312"/>
          <w:sz w:val="32"/>
          <w:szCs w:val="32"/>
        </w:rPr>
        <w:t>6709</w:t>
      </w:r>
      <w:r w:rsidR="00EA4C5D" w:rsidRPr="0013481E">
        <w:rPr>
          <w:rFonts w:eastAsia="仿宋_GB2312"/>
          <w:sz w:val="32"/>
          <w:szCs w:val="32"/>
        </w:rPr>
        <w:t>万元</w:t>
      </w:r>
      <w:r w:rsidR="00EA4C5D" w:rsidRPr="0013481E">
        <w:rPr>
          <w:rFonts w:eastAsia="仿宋_GB2312"/>
          <w:sz w:val="32"/>
          <w:szCs w:val="32"/>
        </w:rPr>
        <w:t>,</w:t>
      </w:r>
      <w:r w:rsidR="00EA4C5D" w:rsidRPr="0013481E">
        <w:rPr>
          <w:rFonts w:eastAsia="仿宋_GB2312"/>
          <w:sz w:val="32"/>
          <w:szCs w:val="32"/>
        </w:rPr>
        <w:t>增长</w:t>
      </w:r>
      <w:r w:rsidR="00A1688A" w:rsidRPr="0013481E">
        <w:rPr>
          <w:rFonts w:eastAsia="仿宋_GB2312"/>
          <w:sz w:val="32"/>
          <w:szCs w:val="32"/>
        </w:rPr>
        <w:t>4.9</w:t>
      </w:r>
      <w:r w:rsidR="00EA4C5D" w:rsidRPr="0013481E">
        <w:rPr>
          <w:rFonts w:eastAsia="仿宋_GB2312"/>
          <w:sz w:val="32"/>
          <w:szCs w:val="32"/>
        </w:rPr>
        <w:t>%;</w:t>
      </w:r>
      <w:r w:rsidR="00EA4C5D" w:rsidRPr="0013481E">
        <w:rPr>
          <w:rFonts w:eastAsia="仿宋_GB2312"/>
          <w:sz w:val="32"/>
          <w:szCs w:val="32"/>
        </w:rPr>
        <w:t>农林牧渔服务业产值</w:t>
      </w:r>
      <w:r w:rsidR="00A1688A" w:rsidRPr="0013481E">
        <w:rPr>
          <w:rFonts w:eastAsia="仿宋_GB2312"/>
          <w:sz w:val="32"/>
          <w:szCs w:val="32"/>
        </w:rPr>
        <w:t>4979</w:t>
      </w:r>
      <w:r w:rsidR="00EA4C5D" w:rsidRPr="0013481E">
        <w:rPr>
          <w:rFonts w:eastAsia="仿宋_GB2312"/>
          <w:sz w:val="32"/>
          <w:szCs w:val="32"/>
        </w:rPr>
        <w:t>万元</w:t>
      </w:r>
      <w:r w:rsidR="00EA4C5D" w:rsidRPr="0013481E">
        <w:rPr>
          <w:rFonts w:eastAsia="仿宋_GB2312"/>
          <w:sz w:val="32"/>
          <w:szCs w:val="32"/>
        </w:rPr>
        <w:t>,</w:t>
      </w:r>
      <w:r w:rsidR="00EA4C5D" w:rsidRPr="0013481E">
        <w:rPr>
          <w:rFonts w:eastAsia="仿宋_GB2312"/>
          <w:sz w:val="32"/>
          <w:szCs w:val="32"/>
        </w:rPr>
        <w:t>增长</w:t>
      </w:r>
      <w:r w:rsidR="00A1688A" w:rsidRPr="0013481E">
        <w:rPr>
          <w:rFonts w:eastAsia="仿宋_GB2312"/>
          <w:sz w:val="32"/>
          <w:szCs w:val="32"/>
        </w:rPr>
        <w:t>7.5</w:t>
      </w:r>
      <w:r w:rsidR="00EA4C5D" w:rsidRPr="0013481E">
        <w:rPr>
          <w:rFonts w:eastAsia="仿宋_GB2312"/>
          <w:sz w:val="32"/>
          <w:szCs w:val="32"/>
        </w:rPr>
        <w:t>%</w:t>
      </w:r>
      <w:r w:rsidR="00EA4C5D" w:rsidRPr="0013481E">
        <w:rPr>
          <w:rFonts w:eastAsia="仿宋_GB2312"/>
          <w:sz w:val="32"/>
          <w:szCs w:val="32"/>
        </w:rPr>
        <w:t>。</w:t>
      </w:r>
    </w:p>
    <w:p w:rsidR="007463CF" w:rsidRPr="0013481E" w:rsidRDefault="00FA3E3F" w:rsidP="00554432">
      <w:pPr>
        <w:spacing w:beforeLines="50" w:afterLines="50" w:line="580" w:lineRule="exact"/>
        <w:ind w:left="0" w:firstLine="601"/>
        <w:rPr>
          <w:rFonts w:eastAsia="仿宋_GB2312"/>
          <w:sz w:val="32"/>
          <w:szCs w:val="32"/>
        </w:rPr>
      </w:pPr>
      <w:r w:rsidRPr="0013481E">
        <w:rPr>
          <w:rFonts w:eastAsia="仿宋_GB2312"/>
          <w:sz w:val="32"/>
          <w:szCs w:val="32"/>
        </w:rPr>
        <w:t>全年农作物播种面积</w:t>
      </w:r>
      <w:r w:rsidR="00623E29" w:rsidRPr="0013481E">
        <w:rPr>
          <w:rFonts w:eastAsia="仿宋_GB2312"/>
          <w:sz w:val="32"/>
          <w:szCs w:val="32"/>
        </w:rPr>
        <w:t>33.</w:t>
      </w:r>
      <w:r w:rsidR="0091753F" w:rsidRPr="0013481E">
        <w:rPr>
          <w:rFonts w:eastAsia="仿宋_GB2312"/>
          <w:sz w:val="32"/>
          <w:szCs w:val="32"/>
        </w:rPr>
        <w:t>38</w:t>
      </w:r>
      <w:r w:rsidR="00623E29" w:rsidRPr="0013481E">
        <w:rPr>
          <w:rFonts w:eastAsia="仿宋_GB2312"/>
          <w:sz w:val="32"/>
          <w:szCs w:val="32"/>
        </w:rPr>
        <w:t>万亩</w:t>
      </w:r>
      <w:r w:rsidRPr="0013481E">
        <w:rPr>
          <w:rFonts w:eastAsia="仿宋_GB2312"/>
          <w:sz w:val="32"/>
          <w:szCs w:val="32"/>
        </w:rPr>
        <w:t>，</w:t>
      </w:r>
      <w:r w:rsidR="00623E29" w:rsidRPr="0013481E">
        <w:rPr>
          <w:rFonts w:eastAsia="仿宋_GB2312"/>
          <w:sz w:val="32"/>
          <w:szCs w:val="32"/>
        </w:rPr>
        <w:t>比上年增长</w:t>
      </w:r>
      <w:r w:rsidR="0091753F" w:rsidRPr="0013481E">
        <w:rPr>
          <w:rFonts w:eastAsia="仿宋_GB2312"/>
          <w:sz w:val="32"/>
          <w:szCs w:val="32"/>
        </w:rPr>
        <w:t>2.6</w:t>
      </w:r>
      <w:r w:rsidR="00623E29" w:rsidRPr="0013481E">
        <w:rPr>
          <w:rFonts w:eastAsia="仿宋_GB2312"/>
          <w:sz w:val="32"/>
          <w:szCs w:val="32"/>
        </w:rPr>
        <w:t>%</w:t>
      </w:r>
      <w:r w:rsidR="0045587F" w:rsidRPr="0013481E">
        <w:rPr>
          <w:rFonts w:eastAsia="仿宋_GB2312"/>
          <w:sz w:val="32"/>
          <w:szCs w:val="32"/>
        </w:rPr>
        <w:t>。</w:t>
      </w:r>
      <w:r w:rsidR="00EA4C5D" w:rsidRPr="0013481E">
        <w:rPr>
          <w:rFonts w:eastAsia="仿宋_GB2312"/>
          <w:sz w:val="32"/>
          <w:szCs w:val="32"/>
        </w:rPr>
        <w:t>其中：粮食播种面积</w:t>
      </w:r>
      <w:r w:rsidR="00EA4C5D" w:rsidRPr="0013481E">
        <w:rPr>
          <w:rFonts w:eastAsia="仿宋_GB2312"/>
          <w:sz w:val="32"/>
          <w:szCs w:val="32"/>
        </w:rPr>
        <w:t>17.</w:t>
      </w:r>
      <w:r w:rsidR="0091753F" w:rsidRPr="0013481E">
        <w:rPr>
          <w:rFonts w:eastAsia="仿宋_GB2312"/>
          <w:sz w:val="32"/>
          <w:szCs w:val="32"/>
        </w:rPr>
        <w:t>7</w:t>
      </w:r>
      <w:r w:rsidR="00EA4C5D" w:rsidRPr="0013481E">
        <w:rPr>
          <w:rFonts w:eastAsia="仿宋_GB2312"/>
          <w:sz w:val="32"/>
          <w:szCs w:val="32"/>
        </w:rPr>
        <w:t>4</w:t>
      </w:r>
      <w:r w:rsidR="00EA4C5D" w:rsidRPr="0013481E">
        <w:rPr>
          <w:rFonts w:eastAsia="仿宋_GB2312"/>
          <w:sz w:val="32"/>
          <w:szCs w:val="32"/>
        </w:rPr>
        <w:t>万亩，比上年增长</w:t>
      </w:r>
      <w:r w:rsidR="00EA4C5D" w:rsidRPr="0013481E">
        <w:rPr>
          <w:rFonts w:eastAsia="仿宋_GB2312"/>
          <w:sz w:val="32"/>
          <w:szCs w:val="32"/>
        </w:rPr>
        <w:t>0.</w:t>
      </w:r>
      <w:r w:rsidR="0091753F" w:rsidRPr="0013481E">
        <w:rPr>
          <w:rFonts w:eastAsia="仿宋_GB2312"/>
          <w:sz w:val="32"/>
          <w:szCs w:val="32"/>
        </w:rPr>
        <w:t>6</w:t>
      </w:r>
      <w:r w:rsidR="00EA4C5D" w:rsidRPr="0013481E">
        <w:rPr>
          <w:rFonts w:eastAsia="仿宋_GB2312"/>
          <w:sz w:val="32"/>
          <w:szCs w:val="32"/>
        </w:rPr>
        <w:t>%</w:t>
      </w:r>
      <w:r w:rsidR="00EA4C5D" w:rsidRPr="0013481E">
        <w:rPr>
          <w:rFonts w:eastAsia="仿宋_GB2312"/>
          <w:sz w:val="32"/>
          <w:szCs w:val="32"/>
        </w:rPr>
        <w:t>；经济作物种植面积</w:t>
      </w:r>
      <w:r w:rsidR="00EA4C5D" w:rsidRPr="0013481E">
        <w:rPr>
          <w:rFonts w:eastAsia="仿宋_GB2312"/>
          <w:sz w:val="32"/>
          <w:szCs w:val="32"/>
        </w:rPr>
        <w:t>4.</w:t>
      </w:r>
      <w:r w:rsidR="0091753F" w:rsidRPr="0013481E">
        <w:rPr>
          <w:rFonts w:eastAsia="仿宋_GB2312"/>
          <w:sz w:val="32"/>
          <w:szCs w:val="32"/>
        </w:rPr>
        <w:t>29</w:t>
      </w:r>
      <w:r w:rsidR="00EA4C5D" w:rsidRPr="0013481E">
        <w:rPr>
          <w:rFonts w:eastAsia="仿宋_GB2312"/>
          <w:sz w:val="32"/>
          <w:szCs w:val="32"/>
        </w:rPr>
        <w:t>万亩，增长</w:t>
      </w:r>
      <w:r w:rsidR="0091753F" w:rsidRPr="0013481E">
        <w:rPr>
          <w:rFonts w:eastAsia="仿宋_GB2312"/>
          <w:sz w:val="32"/>
          <w:szCs w:val="32"/>
        </w:rPr>
        <w:t>2.9</w:t>
      </w:r>
      <w:r w:rsidR="00EA4C5D" w:rsidRPr="0013481E">
        <w:rPr>
          <w:rFonts w:eastAsia="仿宋_GB2312"/>
          <w:sz w:val="32"/>
          <w:szCs w:val="32"/>
        </w:rPr>
        <w:t>%</w:t>
      </w:r>
      <w:r w:rsidR="00EA4C5D" w:rsidRPr="0013481E">
        <w:rPr>
          <w:rFonts w:eastAsia="仿宋_GB2312"/>
          <w:sz w:val="32"/>
          <w:szCs w:val="32"/>
        </w:rPr>
        <w:t>；其他作物种植面积</w:t>
      </w:r>
      <w:r w:rsidR="00EA4C5D" w:rsidRPr="0013481E">
        <w:rPr>
          <w:rFonts w:eastAsia="仿宋_GB2312"/>
          <w:sz w:val="32"/>
          <w:szCs w:val="32"/>
        </w:rPr>
        <w:t>11.</w:t>
      </w:r>
      <w:r w:rsidR="0091753F" w:rsidRPr="0013481E">
        <w:rPr>
          <w:rFonts w:eastAsia="仿宋_GB2312"/>
          <w:sz w:val="32"/>
          <w:szCs w:val="32"/>
        </w:rPr>
        <w:t>35</w:t>
      </w:r>
      <w:r w:rsidR="00EA4C5D" w:rsidRPr="0013481E">
        <w:rPr>
          <w:rFonts w:eastAsia="仿宋_GB2312"/>
          <w:sz w:val="32"/>
          <w:szCs w:val="32"/>
        </w:rPr>
        <w:t>万亩，增长</w:t>
      </w:r>
      <w:r w:rsidR="0091753F" w:rsidRPr="0013481E">
        <w:rPr>
          <w:rFonts w:eastAsia="仿宋_GB2312"/>
          <w:sz w:val="32"/>
          <w:szCs w:val="32"/>
        </w:rPr>
        <w:t>5.8</w:t>
      </w:r>
      <w:r w:rsidR="00EA4C5D" w:rsidRPr="0013481E">
        <w:rPr>
          <w:rFonts w:eastAsia="仿宋_GB2312"/>
          <w:sz w:val="32"/>
          <w:szCs w:val="32"/>
        </w:rPr>
        <w:t>%</w:t>
      </w:r>
      <w:r w:rsidR="00EA4C5D" w:rsidRPr="0013481E">
        <w:rPr>
          <w:rFonts w:eastAsia="仿宋_GB2312"/>
          <w:sz w:val="32"/>
          <w:szCs w:val="32"/>
        </w:rPr>
        <w:t>。</w:t>
      </w:r>
      <w:r w:rsidR="00401945" w:rsidRPr="0013481E">
        <w:rPr>
          <w:rFonts w:eastAsia="仿宋_GB2312"/>
          <w:sz w:val="32"/>
          <w:szCs w:val="32"/>
        </w:rPr>
        <w:t>全年粮食总产量</w:t>
      </w:r>
      <w:r w:rsidR="0091753F" w:rsidRPr="0013481E">
        <w:rPr>
          <w:rFonts w:eastAsia="仿宋_GB2312"/>
          <w:sz w:val="32"/>
          <w:szCs w:val="32"/>
        </w:rPr>
        <w:t>65206</w:t>
      </w:r>
      <w:r w:rsidR="00401945" w:rsidRPr="0013481E">
        <w:rPr>
          <w:rFonts w:eastAsia="仿宋_GB2312"/>
          <w:sz w:val="32"/>
          <w:szCs w:val="32"/>
        </w:rPr>
        <w:t>吨，比上年增长</w:t>
      </w:r>
      <w:r w:rsidR="00401945" w:rsidRPr="0013481E">
        <w:rPr>
          <w:rFonts w:eastAsia="仿宋_GB2312"/>
          <w:sz w:val="32"/>
          <w:szCs w:val="32"/>
        </w:rPr>
        <w:t>1.</w:t>
      </w:r>
      <w:r w:rsidR="0091753F" w:rsidRPr="0013481E">
        <w:rPr>
          <w:rFonts w:eastAsia="仿宋_GB2312"/>
          <w:sz w:val="32"/>
          <w:szCs w:val="32"/>
        </w:rPr>
        <w:t>3</w:t>
      </w:r>
      <w:r w:rsidR="00401945" w:rsidRPr="0013481E">
        <w:rPr>
          <w:rFonts w:eastAsia="仿宋_GB2312"/>
          <w:sz w:val="32"/>
          <w:szCs w:val="32"/>
        </w:rPr>
        <w:t>%</w:t>
      </w:r>
      <w:r w:rsidR="00401945" w:rsidRPr="0013481E">
        <w:rPr>
          <w:rFonts w:eastAsia="仿宋_GB2312"/>
          <w:sz w:val="32"/>
          <w:szCs w:val="32"/>
        </w:rPr>
        <w:t>，其中稻谷</w:t>
      </w:r>
      <w:r w:rsidR="0091753F" w:rsidRPr="0013481E">
        <w:rPr>
          <w:rFonts w:eastAsia="仿宋_GB2312"/>
          <w:sz w:val="32"/>
          <w:szCs w:val="32"/>
        </w:rPr>
        <w:t>59905</w:t>
      </w:r>
      <w:r w:rsidR="00401945" w:rsidRPr="0013481E">
        <w:rPr>
          <w:rFonts w:eastAsia="仿宋_GB2312"/>
          <w:sz w:val="32"/>
          <w:szCs w:val="32"/>
        </w:rPr>
        <w:t>吨，比上年</w:t>
      </w:r>
      <w:r w:rsidR="0091753F" w:rsidRPr="0013481E">
        <w:rPr>
          <w:rFonts w:eastAsia="仿宋_GB2312"/>
          <w:sz w:val="32"/>
          <w:szCs w:val="32"/>
        </w:rPr>
        <w:t>下降</w:t>
      </w:r>
      <w:r w:rsidR="0091753F" w:rsidRPr="0013481E">
        <w:rPr>
          <w:rFonts w:eastAsia="仿宋_GB2312"/>
          <w:sz w:val="32"/>
          <w:szCs w:val="32"/>
        </w:rPr>
        <w:t>0.2</w:t>
      </w:r>
      <w:r w:rsidR="00401945" w:rsidRPr="0013481E">
        <w:rPr>
          <w:rFonts w:eastAsia="仿宋_GB2312"/>
          <w:sz w:val="32"/>
          <w:szCs w:val="32"/>
        </w:rPr>
        <w:t xml:space="preserve">% </w:t>
      </w:r>
      <w:r w:rsidR="00401945" w:rsidRPr="0013481E">
        <w:rPr>
          <w:rFonts w:eastAsia="仿宋_GB2312"/>
          <w:sz w:val="32"/>
          <w:szCs w:val="32"/>
        </w:rPr>
        <w:t>；烟叶总产量</w:t>
      </w:r>
      <w:r w:rsidR="0043606E" w:rsidRPr="0013481E">
        <w:rPr>
          <w:rFonts w:eastAsia="仿宋_GB2312"/>
          <w:sz w:val="32"/>
          <w:szCs w:val="32"/>
        </w:rPr>
        <w:t>1375</w:t>
      </w:r>
      <w:r w:rsidR="00401945" w:rsidRPr="0013481E">
        <w:rPr>
          <w:rFonts w:eastAsia="仿宋_GB2312"/>
          <w:sz w:val="32"/>
          <w:szCs w:val="32"/>
        </w:rPr>
        <w:t>吨，</w:t>
      </w:r>
      <w:r w:rsidR="00401945" w:rsidRPr="0013481E">
        <w:rPr>
          <w:rFonts w:eastAsia="仿宋_GB2312"/>
          <w:sz w:val="32"/>
          <w:szCs w:val="32"/>
        </w:rPr>
        <w:t xml:space="preserve"> </w:t>
      </w:r>
      <w:r w:rsidR="00401945" w:rsidRPr="0013481E">
        <w:rPr>
          <w:rFonts w:eastAsia="仿宋_GB2312"/>
          <w:sz w:val="32"/>
          <w:szCs w:val="32"/>
        </w:rPr>
        <w:t>比上年下降</w:t>
      </w:r>
      <w:r w:rsidR="0043606E" w:rsidRPr="0013481E">
        <w:rPr>
          <w:rFonts w:eastAsia="仿宋_GB2312"/>
          <w:sz w:val="32"/>
          <w:szCs w:val="32"/>
        </w:rPr>
        <w:t>1.4</w:t>
      </w:r>
      <w:r w:rsidR="00401945" w:rsidRPr="0013481E">
        <w:rPr>
          <w:rFonts w:eastAsia="仿宋_GB2312"/>
          <w:sz w:val="32"/>
          <w:szCs w:val="32"/>
        </w:rPr>
        <w:t>%</w:t>
      </w:r>
      <w:r w:rsidR="00401945" w:rsidRPr="0013481E">
        <w:rPr>
          <w:rFonts w:eastAsia="仿宋_GB2312"/>
          <w:sz w:val="32"/>
          <w:szCs w:val="32"/>
        </w:rPr>
        <w:t>；茶</w:t>
      </w:r>
      <w:r w:rsidRPr="0013481E">
        <w:rPr>
          <w:rFonts w:eastAsia="仿宋_GB2312"/>
          <w:sz w:val="32"/>
          <w:szCs w:val="32"/>
        </w:rPr>
        <w:lastRenderedPageBreak/>
        <w:t>叶总产量</w:t>
      </w:r>
      <w:r w:rsidR="0043606E" w:rsidRPr="0013481E">
        <w:rPr>
          <w:rFonts w:eastAsia="仿宋_GB2312"/>
          <w:sz w:val="32"/>
          <w:szCs w:val="32"/>
        </w:rPr>
        <w:t>2048</w:t>
      </w:r>
      <w:r w:rsidRPr="0013481E">
        <w:rPr>
          <w:rFonts w:eastAsia="仿宋_GB2312"/>
          <w:sz w:val="32"/>
          <w:szCs w:val="32"/>
        </w:rPr>
        <w:t>吨，比上年</w:t>
      </w:r>
      <w:r w:rsidR="00FD1DF6" w:rsidRPr="0013481E">
        <w:rPr>
          <w:rFonts w:eastAsia="仿宋_GB2312"/>
          <w:sz w:val="32"/>
          <w:szCs w:val="32"/>
        </w:rPr>
        <w:t>增长</w:t>
      </w:r>
      <w:r w:rsidR="0043606E" w:rsidRPr="0013481E">
        <w:rPr>
          <w:rFonts w:eastAsia="仿宋_GB2312"/>
          <w:sz w:val="32"/>
          <w:szCs w:val="32"/>
        </w:rPr>
        <w:t>2.6</w:t>
      </w:r>
      <w:r w:rsidRPr="0013481E">
        <w:rPr>
          <w:rFonts w:eastAsia="仿宋_GB2312"/>
          <w:sz w:val="32"/>
          <w:szCs w:val="32"/>
        </w:rPr>
        <w:t>%</w:t>
      </w:r>
      <w:r w:rsidRPr="0013481E">
        <w:rPr>
          <w:rFonts w:eastAsia="仿宋_GB2312"/>
          <w:sz w:val="32"/>
          <w:szCs w:val="32"/>
        </w:rPr>
        <w:t>；花生总产量</w:t>
      </w:r>
      <w:r w:rsidR="0043606E" w:rsidRPr="0013481E">
        <w:rPr>
          <w:rFonts w:eastAsia="仿宋_GB2312"/>
          <w:sz w:val="32"/>
          <w:szCs w:val="32"/>
        </w:rPr>
        <w:t>3912</w:t>
      </w:r>
      <w:r w:rsidRPr="0013481E">
        <w:rPr>
          <w:rFonts w:eastAsia="仿宋_GB2312"/>
          <w:sz w:val="32"/>
          <w:szCs w:val="32"/>
        </w:rPr>
        <w:t>吨，比上年</w:t>
      </w:r>
      <w:r w:rsidR="00B26DDE" w:rsidRPr="0013481E">
        <w:rPr>
          <w:rFonts w:eastAsia="仿宋_GB2312"/>
          <w:sz w:val="32"/>
          <w:szCs w:val="32"/>
        </w:rPr>
        <w:t>增长</w:t>
      </w:r>
      <w:r w:rsidR="0043606E" w:rsidRPr="0013481E">
        <w:rPr>
          <w:rFonts w:eastAsia="仿宋_GB2312"/>
          <w:sz w:val="32"/>
          <w:szCs w:val="32"/>
        </w:rPr>
        <w:t>22.1</w:t>
      </w:r>
      <w:r w:rsidRPr="0013481E">
        <w:rPr>
          <w:rFonts w:eastAsia="仿宋_GB2312"/>
          <w:sz w:val="32"/>
          <w:szCs w:val="32"/>
        </w:rPr>
        <w:t>%</w:t>
      </w:r>
      <w:r w:rsidRPr="0013481E">
        <w:rPr>
          <w:rFonts w:eastAsia="仿宋_GB2312"/>
          <w:sz w:val="32"/>
          <w:szCs w:val="32"/>
        </w:rPr>
        <w:t>；水果总产量</w:t>
      </w:r>
      <w:r w:rsidR="0043606E" w:rsidRPr="0013481E">
        <w:rPr>
          <w:rFonts w:eastAsia="仿宋_GB2312"/>
          <w:sz w:val="32"/>
          <w:szCs w:val="32"/>
        </w:rPr>
        <w:t>45775</w:t>
      </w:r>
      <w:r w:rsidRPr="0013481E">
        <w:rPr>
          <w:rFonts w:eastAsia="仿宋_GB2312"/>
          <w:sz w:val="32"/>
          <w:szCs w:val="32"/>
        </w:rPr>
        <w:t>吨，比上年增长</w:t>
      </w:r>
      <w:r w:rsidR="0043606E" w:rsidRPr="0013481E">
        <w:rPr>
          <w:rFonts w:eastAsia="仿宋_GB2312"/>
          <w:sz w:val="32"/>
          <w:szCs w:val="32"/>
        </w:rPr>
        <w:t>2.6</w:t>
      </w:r>
      <w:r w:rsidRPr="0013481E">
        <w:rPr>
          <w:rFonts w:eastAsia="仿宋_GB2312"/>
          <w:sz w:val="32"/>
          <w:szCs w:val="32"/>
        </w:rPr>
        <w:t>%</w:t>
      </w:r>
      <w:r w:rsidRPr="0013481E">
        <w:rPr>
          <w:rFonts w:eastAsia="仿宋_GB2312"/>
          <w:sz w:val="32"/>
          <w:szCs w:val="32"/>
        </w:rPr>
        <w:t>；蔬菜总产量</w:t>
      </w:r>
      <w:r w:rsidR="0043606E" w:rsidRPr="0013481E">
        <w:rPr>
          <w:rFonts w:eastAsia="仿宋_GB2312"/>
          <w:sz w:val="32"/>
          <w:szCs w:val="32"/>
        </w:rPr>
        <w:t>123337</w:t>
      </w:r>
      <w:r w:rsidRPr="0013481E">
        <w:rPr>
          <w:rFonts w:eastAsia="仿宋_GB2312"/>
          <w:sz w:val="32"/>
          <w:szCs w:val="32"/>
        </w:rPr>
        <w:t>吨，比上年增长</w:t>
      </w:r>
      <w:r w:rsidR="00FD1DF6" w:rsidRPr="0013481E">
        <w:rPr>
          <w:rFonts w:eastAsia="仿宋_GB2312"/>
          <w:sz w:val="32"/>
          <w:szCs w:val="32"/>
        </w:rPr>
        <w:t>6.</w:t>
      </w:r>
      <w:r w:rsidR="0043606E" w:rsidRPr="0013481E">
        <w:rPr>
          <w:rFonts w:eastAsia="仿宋_GB2312"/>
          <w:sz w:val="32"/>
          <w:szCs w:val="32"/>
        </w:rPr>
        <w:t>6</w:t>
      </w:r>
      <w:r w:rsidRPr="0013481E">
        <w:rPr>
          <w:rFonts w:eastAsia="仿宋_GB2312"/>
          <w:sz w:val="32"/>
          <w:szCs w:val="32"/>
        </w:rPr>
        <w:t>%</w:t>
      </w:r>
      <w:r w:rsidRPr="0013481E">
        <w:rPr>
          <w:rFonts w:eastAsia="仿宋_GB2312"/>
          <w:sz w:val="32"/>
          <w:szCs w:val="32"/>
        </w:rPr>
        <w:t>；果用瓜总产量</w:t>
      </w:r>
      <w:r w:rsidR="0043606E" w:rsidRPr="0013481E">
        <w:rPr>
          <w:rFonts w:eastAsia="仿宋_GB2312"/>
          <w:sz w:val="32"/>
          <w:szCs w:val="32"/>
        </w:rPr>
        <w:t>3674</w:t>
      </w:r>
      <w:r w:rsidRPr="0013481E">
        <w:rPr>
          <w:rFonts w:eastAsia="仿宋_GB2312"/>
          <w:sz w:val="32"/>
          <w:szCs w:val="32"/>
        </w:rPr>
        <w:t>吨，比上年</w:t>
      </w:r>
      <w:r w:rsidR="00FD1DF6" w:rsidRPr="0013481E">
        <w:rPr>
          <w:rFonts w:eastAsia="仿宋_GB2312"/>
          <w:sz w:val="32"/>
          <w:szCs w:val="32"/>
        </w:rPr>
        <w:t>增长</w:t>
      </w:r>
      <w:r w:rsidR="0043606E" w:rsidRPr="0013481E">
        <w:rPr>
          <w:rFonts w:eastAsia="仿宋_GB2312"/>
          <w:sz w:val="32"/>
          <w:szCs w:val="32"/>
        </w:rPr>
        <w:t>6.3</w:t>
      </w:r>
      <w:r w:rsidRPr="0013481E">
        <w:rPr>
          <w:rFonts w:eastAsia="仿宋_GB2312"/>
          <w:sz w:val="32"/>
          <w:szCs w:val="32"/>
        </w:rPr>
        <w:t>%</w:t>
      </w:r>
      <w:r w:rsidRPr="0013481E">
        <w:rPr>
          <w:rFonts w:eastAsia="仿宋_GB2312"/>
          <w:sz w:val="32"/>
          <w:szCs w:val="32"/>
        </w:rPr>
        <w:t>。</w:t>
      </w:r>
    </w:p>
    <w:p w:rsidR="00FA3E3F" w:rsidRPr="0013481E" w:rsidRDefault="007463CF" w:rsidP="00554432">
      <w:pPr>
        <w:spacing w:afterLines="50" w:line="540" w:lineRule="exact"/>
        <w:ind w:left="0" w:firstLineChars="200" w:firstLine="640"/>
        <w:rPr>
          <w:rFonts w:eastAsia="仿宋_GB2312"/>
          <w:sz w:val="32"/>
          <w:szCs w:val="32"/>
        </w:rPr>
      </w:pPr>
      <w:r w:rsidRPr="0013481E">
        <w:rPr>
          <w:rFonts w:eastAsia="仿宋_GB2312"/>
          <w:noProof/>
          <w:sz w:val="32"/>
          <w:szCs w:val="32"/>
        </w:rPr>
        <w:drawing>
          <wp:anchor distT="0" distB="0" distL="114300" distR="114300" simplePos="0" relativeHeight="251680768" behindDoc="0" locked="0" layoutInCell="1" allowOverlap="1">
            <wp:simplePos x="0" y="0"/>
            <wp:positionH relativeFrom="margin">
              <wp:posOffset>62230</wp:posOffset>
            </wp:positionH>
            <wp:positionV relativeFrom="paragraph">
              <wp:posOffset>107950</wp:posOffset>
            </wp:positionV>
            <wp:extent cx="5924550" cy="3028950"/>
            <wp:effectExtent l="0" t="0" r="0" b="0"/>
            <wp:wrapTopAndBottom/>
            <wp:docPr id="12"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A3E3F" w:rsidRPr="0013481E">
        <w:rPr>
          <w:rFonts w:eastAsia="仿宋_GB2312"/>
          <w:sz w:val="32"/>
          <w:szCs w:val="32"/>
        </w:rPr>
        <w:t>全年肉类总产量</w:t>
      </w:r>
      <w:r w:rsidR="00842CAB" w:rsidRPr="0013481E">
        <w:rPr>
          <w:rFonts w:eastAsia="仿宋_GB2312"/>
          <w:sz w:val="32"/>
          <w:szCs w:val="32"/>
        </w:rPr>
        <w:t>21444</w:t>
      </w:r>
      <w:r w:rsidR="00FA3E3F" w:rsidRPr="0013481E">
        <w:rPr>
          <w:rFonts w:eastAsia="仿宋_GB2312"/>
          <w:sz w:val="32"/>
          <w:szCs w:val="32"/>
        </w:rPr>
        <w:t>吨，比上年</w:t>
      </w:r>
      <w:r w:rsidR="00FF542E" w:rsidRPr="0013481E">
        <w:rPr>
          <w:rFonts w:eastAsia="仿宋_GB2312"/>
          <w:sz w:val="32"/>
          <w:szCs w:val="32"/>
        </w:rPr>
        <w:t>下降</w:t>
      </w:r>
      <w:r w:rsidR="00842CAB" w:rsidRPr="0013481E">
        <w:rPr>
          <w:rFonts w:eastAsia="仿宋_GB2312"/>
          <w:sz w:val="32"/>
          <w:szCs w:val="32"/>
        </w:rPr>
        <w:t>2.6</w:t>
      </w:r>
      <w:r w:rsidR="00FA3E3F" w:rsidRPr="0013481E">
        <w:rPr>
          <w:rFonts w:eastAsia="仿宋_GB2312"/>
          <w:sz w:val="32"/>
          <w:szCs w:val="32"/>
        </w:rPr>
        <w:t>%</w:t>
      </w:r>
      <w:r w:rsidR="00FA3E3F" w:rsidRPr="0013481E">
        <w:rPr>
          <w:rFonts w:eastAsia="仿宋_GB2312"/>
          <w:sz w:val="32"/>
          <w:szCs w:val="32"/>
        </w:rPr>
        <w:t>，其中：猪肉产量为</w:t>
      </w:r>
      <w:r w:rsidR="00842CAB" w:rsidRPr="0013481E">
        <w:rPr>
          <w:rFonts w:eastAsia="仿宋_GB2312"/>
          <w:sz w:val="32"/>
          <w:szCs w:val="32"/>
        </w:rPr>
        <w:t>17800</w:t>
      </w:r>
      <w:r w:rsidR="00FA3E3F" w:rsidRPr="0013481E">
        <w:rPr>
          <w:rFonts w:eastAsia="仿宋_GB2312"/>
          <w:sz w:val="32"/>
          <w:szCs w:val="32"/>
        </w:rPr>
        <w:t>吨，比上年</w:t>
      </w:r>
      <w:r w:rsidR="0007631D" w:rsidRPr="0013481E">
        <w:rPr>
          <w:rFonts w:eastAsia="仿宋_GB2312"/>
          <w:sz w:val="32"/>
          <w:szCs w:val="32"/>
        </w:rPr>
        <w:t>下降</w:t>
      </w:r>
      <w:r w:rsidR="00842CAB" w:rsidRPr="0013481E">
        <w:rPr>
          <w:rFonts w:eastAsia="仿宋_GB2312"/>
          <w:sz w:val="32"/>
          <w:szCs w:val="32"/>
        </w:rPr>
        <w:t>1.5</w:t>
      </w:r>
      <w:r w:rsidR="00FA3E3F" w:rsidRPr="0013481E">
        <w:rPr>
          <w:rFonts w:eastAsia="仿宋_GB2312"/>
          <w:sz w:val="32"/>
          <w:szCs w:val="32"/>
        </w:rPr>
        <w:t>%</w:t>
      </w:r>
      <w:r w:rsidR="00FA3E3F" w:rsidRPr="0013481E">
        <w:rPr>
          <w:rFonts w:eastAsia="仿宋_GB2312"/>
          <w:sz w:val="32"/>
          <w:szCs w:val="32"/>
        </w:rPr>
        <w:t>；当年猪出栏</w:t>
      </w:r>
      <w:r w:rsidR="00842CAB" w:rsidRPr="0013481E">
        <w:rPr>
          <w:rFonts w:eastAsia="仿宋_GB2312"/>
          <w:sz w:val="32"/>
          <w:szCs w:val="32"/>
        </w:rPr>
        <w:t>22</w:t>
      </w:r>
      <w:r w:rsidR="00A22BD2" w:rsidRPr="0013481E">
        <w:rPr>
          <w:rFonts w:eastAsia="仿宋_GB2312"/>
          <w:sz w:val="32"/>
          <w:szCs w:val="32"/>
        </w:rPr>
        <w:t>8758</w:t>
      </w:r>
      <w:r w:rsidR="00FA3E3F" w:rsidRPr="0013481E">
        <w:rPr>
          <w:rFonts w:eastAsia="仿宋_GB2312"/>
          <w:sz w:val="32"/>
          <w:szCs w:val="32"/>
        </w:rPr>
        <w:t>头，比上年</w:t>
      </w:r>
      <w:r w:rsidR="00A22BD2" w:rsidRPr="0013481E">
        <w:rPr>
          <w:rFonts w:eastAsia="仿宋_GB2312"/>
          <w:sz w:val="32"/>
          <w:szCs w:val="32"/>
        </w:rPr>
        <w:t>少</w:t>
      </w:r>
      <w:r w:rsidR="00A22BD2" w:rsidRPr="0013481E">
        <w:rPr>
          <w:rFonts w:eastAsia="仿宋_GB2312"/>
          <w:sz w:val="32"/>
          <w:szCs w:val="32"/>
        </w:rPr>
        <w:t>6929</w:t>
      </w:r>
      <w:r w:rsidR="00A22BD2" w:rsidRPr="0013481E">
        <w:rPr>
          <w:rFonts w:eastAsia="仿宋_GB2312"/>
          <w:sz w:val="32"/>
          <w:szCs w:val="32"/>
        </w:rPr>
        <w:t>头，</w:t>
      </w:r>
      <w:r w:rsidR="00FF542E" w:rsidRPr="0013481E">
        <w:rPr>
          <w:rFonts w:eastAsia="仿宋_GB2312"/>
          <w:sz w:val="32"/>
          <w:szCs w:val="32"/>
        </w:rPr>
        <w:t>下降</w:t>
      </w:r>
      <w:r w:rsidR="00842CAB" w:rsidRPr="0013481E">
        <w:rPr>
          <w:rFonts w:eastAsia="仿宋_GB2312"/>
          <w:sz w:val="32"/>
          <w:szCs w:val="32"/>
        </w:rPr>
        <w:t>2.9</w:t>
      </w:r>
      <w:r w:rsidR="00FA3E3F" w:rsidRPr="0013481E">
        <w:rPr>
          <w:rFonts w:eastAsia="仿宋_GB2312"/>
          <w:sz w:val="32"/>
          <w:szCs w:val="32"/>
        </w:rPr>
        <w:t>%</w:t>
      </w:r>
      <w:r w:rsidR="00FA3E3F" w:rsidRPr="0013481E">
        <w:rPr>
          <w:rFonts w:eastAsia="仿宋_GB2312"/>
          <w:sz w:val="32"/>
          <w:szCs w:val="32"/>
        </w:rPr>
        <w:t>；牛出栏</w:t>
      </w:r>
      <w:r w:rsidR="00842CAB" w:rsidRPr="0013481E">
        <w:rPr>
          <w:rFonts w:eastAsia="仿宋_GB2312"/>
          <w:sz w:val="32"/>
          <w:szCs w:val="32"/>
        </w:rPr>
        <w:t>3110</w:t>
      </w:r>
      <w:r w:rsidR="00FA3E3F" w:rsidRPr="0013481E">
        <w:rPr>
          <w:rFonts w:eastAsia="仿宋_GB2312"/>
          <w:sz w:val="32"/>
          <w:szCs w:val="32"/>
        </w:rPr>
        <w:t>头，比上年</w:t>
      </w:r>
      <w:r w:rsidR="00842CAB" w:rsidRPr="0013481E">
        <w:rPr>
          <w:rFonts w:eastAsia="仿宋_GB2312"/>
          <w:sz w:val="32"/>
          <w:szCs w:val="32"/>
        </w:rPr>
        <w:t>下降</w:t>
      </w:r>
      <w:r w:rsidR="00842CAB" w:rsidRPr="0013481E">
        <w:rPr>
          <w:rFonts w:eastAsia="仿宋_GB2312"/>
          <w:sz w:val="32"/>
          <w:szCs w:val="32"/>
        </w:rPr>
        <w:t>46</w:t>
      </w:r>
      <w:r w:rsidR="00FA3E3F" w:rsidRPr="0013481E">
        <w:rPr>
          <w:rFonts w:eastAsia="仿宋_GB2312"/>
          <w:sz w:val="32"/>
          <w:szCs w:val="32"/>
        </w:rPr>
        <w:t>%</w:t>
      </w:r>
      <w:r w:rsidR="00FA3E3F" w:rsidRPr="0013481E">
        <w:rPr>
          <w:rFonts w:eastAsia="仿宋_GB2312"/>
          <w:sz w:val="32"/>
          <w:szCs w:val="32"/>
        </w:rPr>
        <w:t>；羊出栏</w:t>
      </w:r>
      <w:r w:rsidR="00842CAB" w:rsidRPr="0013481E">
        <w:rPr>
          <w:rFonts w:eastAsia="仿宋_GB2312"/>
          <w:sz w:val="32"/>
          <w:szCs w:val="32"/>
        </w:rPr>
        <w:t>12713</w:t>
      </w:r>
      <w:r w:rsidR="00FA3E3F" w:rsidRPr="0013481E">
        <w:rPr>
          <w:rFonts w:eastAsia="仿宋_GB2312"/>
          <w:sz w:val="32"/>
          <w:szCs w:val="32"/>
        </w:rPr>
        <w:t>只，比上年</w:t>
      </w:r>
      <w:r w:rsidR="00842CAB" w:rsidRPr="0013481E">
        <w:rPr>
          <w:rFonts w:eastAsia="仿宋_GB2312"/>
          <w:sz w:val="32"/>
          <w:szCs w:val="32"/>
        </w:rPr>
        <w:t>下降</w:t>
      </w:r>
      <w:r w:rsidR="00842CAB" w:rsidRPr="0013481E">
        <w:rPr>
          <w:rFonts w:eastAsia="仿宋_GB2312"/>
          <w:sz w:val="32"/>
          <w:szCs w:val="32"/>
        </w:rPr>
        <w:t>9.6</w:t>
      </w:r>
      <w:r w:rsidR="00FA3E3F" w:rsidRPr="0013481E">
        <w:rPr>
          <w:rFonts w:eastAsia="仿宋_GB2312"/>
          <w:sz w:val="32"/>
          <w:szCs w:val="32"/>
        </w:rPr>
        <w:t>%</w:t>
      </w:r>
      <w:r w:rsidR="00FA3E3F" w:rsidRPr="0013481E">
        <w:rPr>
          <w:rFonts w:eastAsia="仿宋_GB2312"/>
          <w:sz w:val="32"/>
          <w:szCs w:val="32"/>
        </w:rPr>
        <w:t>。牛存栏</w:t>
      </w:r>
      <w:r w:rsidR="00842CAB" w:rsidRPr="0013481E">
        <w:rPr>
          <w:rFonts w:eastAsia="仿宋_GB2312"/>
          <w:sz w:val="32"/>
          <w:szCs w:val="32"/>
        </w:rPr>
        <w:t>5338</w:t>
      </w:r>
      <w:r w:rsidR="00FA3E3F" w:rsidRPr="0013481E">
        <w:rPr>
          <w:rFonts w:eastAsia="仿宋_GB2312"/>
          <w:sz w:val="32"/>
          <w:szCs w:val="32"/>
        </w:rPr>
        <w:t>头，比上年</w:t>
      </w:r>
      <w:r w:rsidR="00372B57" w:rsidRPr="0013481E">
        <w:rPr>
          <w:rFonts w:eastAsia="仿宋_GB2312"/>
          <w:sz w:val="32"/>
          <w:szCs w:val="32"/>
        </w:rPr>
        <w:t>下降</w:t>
      </w:r>
      <w:r w:rsidR="00842CAB" w:rsidRPr="0013481E">
        <w:rPr>
          <w:rFonts w:eastAsia="仿宋_GB2312"/>
          <w:sz w:val="32"/>
          <w:szCs w:val="32"/>
        </w:rPr>
        <w:t>35</w:t>
      </w:r>
      <w:r w:rsidR="00FA3E3F" w:rsidRPr="0013481E">
        <w:rPr>
          <w:rFonts w:eastAsia="仿宋_GB2312"/>
          <w:sz w:val="32"/>
          <w:szCs w:val="32"/>
        </w:rPr>
        <w:t>%</w:t>
      </w:r>
      <w:r w:rsidR="00FA3E3F" w:rsidRPr="0013481E">
        <w:rPr>
          <w:rFonts w:eastAsia="仿宋_GB2312"/>
          <w:sz w:val="32"/>
          <w:szCs w:val="32"/>
        </w:rPr>
        <w:t>；羊存栏</w:t>
      </w:r>
      <w:r w:rsidR="00842CAB" w:rsidRPr="0013481E">
        <w:rPr>
          <w:rFonts w:eastAsia="仿宋_GB2312"/>
          <w:sz w:val="32"/>
          <w:szCs w:val="32"/>
        </w:rPr>
        <w:t>5869</w:t>
      </w:r>
      <w:r w:rsidR="00FA3E3F" w:rsidRPr="0013481E">
        <w:rPr>
          <w:rFonts w:eastAsia="仿宋_GB2312"/>
          <w:sz w:val="32"/>
          <w:szCs w:val="32"/>
        </w:rPr>
        <w:t>只，比上年</w:t>
      </w:r>
      <w:r w:rsidR="00842CAB" w:rsidRPr="0013481E">
        <w:rPr>
          <w:rFonts w:eastAsia="仿宋_GB2312"/>
          <w:sz w:val="32"/>
          <w:szCs w:val="32"/>
        </w:rPr>
        <w:t>下降</w:t>
      </w:r>
      <w:r w:rsidR="00842CAB" w:rsidRPr="0013481E">
        <w:rPr>
          <w:rFonts w:eastAsia="仿宋_GB2312"/>
          <w:sz w:val="32"/>
          <w:szCs w:val="32"/>
        </w:rPr>
        <w:t>12.6</w:t>
      </w:r>
      <w:r w:rsidR="00FA3E3F" w:rsidRPr="0013481E">
        <w:rPr>
          <w:rFonts w:eastAsia="仿宋_GB2312"/>
          <w:sz w:val="32"/>
          <w:szCs w:val="32"/>
        </w:rPr>
        <w:t>%</w:t>
      </w:r>
      <w:r w:rsidR="00FA3E3F" w:rsidRPr="0013481E">
        <w:rPr>
          <w:rFonts w:eastAsia="仿宋_GB2312"/>
          <w:sz w:val="32"/>
          <w:szCs w:val="32"/>
        </w:rPr>
        <w:t>。</w:t>
      </w:r>
    </w:p>
    <w:p w:rsidR="00E972F4"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全年渔业水产品产量</w:t>
      </w:r>
      <w:r w:rsidR="00842CAB" w:rsidRPr="0013481E">
        <w:rPr>
          <w:rFonts w:eastAsia="仿宋_GB2312"/>
          <w:sz w:val="32"/>
          <w:szCs w:val="32"/>
        </w:rPr>
        <w:t>7681</w:t>
      </w:r>
      <w:r w:rsidRPr="0013481E">
        <w:rPr>
          <w:rFonts w:eastAsia="仿宋_GB2312"/>
          <w:sz w:val="32"/>
          <w:szCs w:val="32"/>
        </w:rPr>
        <w:t>吨，比上年</w:t>
      </w:r>
      <w:r w:rsidR="00174B26" w:rsidRPr="0013481E">
        <w:rPr>
          <w:rFonts w:eastAsia="仿宋_GB2312"/>
          <w:sz w:val="32"/>
          <w:szCs w:val="32"/>
        </w:rPr>
        <w:t>增长</w:t>
      </w:r>
      <w:r w:rsidR="00842CAB" w:rsidRPr="0013481E">
        <w:rPr>
          <w:rFonts w:eastAsia="仿宋_GB2312"/>
          <w:sz w:val="32"/>
          <w:szCs w:val="32"/>
        </w:rPr>
        <w:t>6.4</w:t>
      </w:r>
      <w:r w:rsidRPr="0013481E">
        <w:rPr>
          <w:rFonts w:eastAsia="仿宋_GB2312"/>
          <w:sz w:val="32"/>
          <w:szCs w:val="32"/>
        </w:rPr>
        <w:t>%</w:t>
      </w:r>
      <w:r w:rsidRPr="0013481E">
        <w:rPr>
          <w:rFonts w:eastAsia="仿宋_GB2312"/>
          <w:sz w:val="32"/>
          <w:szCs w:val="32"/>
        </w:rPr>
        <w:t>。</w:t>
      </w:r>
    </w:p>
    <w:p w:rsidR="0081171F"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三、工业和建筑业</w:t>
      </w:r>
    </w:p>
    <w:p w:rsidR="00567D96" w:rsidRPr="0013481E" w:rsidRDefault="00796618" w:rsidP="00554432">
      <w:pPr>
        <w:spacing w:afterLines="50" w:line="540" w:lineRule="exact"/>
        <w:ind w:left="0" w:firstLineChars="200" w:firstLine="640"/>
        <w:rPr>
          <w:rFonts w:eastAsia="仿宋_GB2312"/>
          <w:sz w:val="32"/>
          <w:szCs w:val="32"/>
        </w:rPr>
      </w:pPr>
      <w:r w:rsidRPr="0013481E">
        <w:rPr>
          <w:rFonts w:eastAsia="仿宋_GB2312"/>
          <w:sz w:val="32"/>
          <w:szCs w:val="32"/>
        </w:rPr>
        <w:t>全年全部工业完成增加值</w:t>
      </w:r>
      <w:r w:rsidRPr="0013481E">
        <w:rPr>
          <w:rFonts w:eastAsia="仿宋_GB2312"/>
          <w:sz w:val="32"/>
          <w:szCs w:val="32"/>
        </w:rPr>
        <w:t>19</w:t>
      </w:r>
      <w:r w:rsidR="00BF1E93" w:rsidRPr="0013481E">
        <w:rPr>
          <w:rFonts w:eastAsia="仿宋_GB2312"/>
          <w:sz w:val="32"/>
          <w:szCs w:val="32"/>
        </w:rPr>
        <w:t>6562</w:t>
      </w:r>
      <w:r w:rsidRPr="0013481E">
        <w:rPr>
          <w:rFonts w:eastAsia="仿宋_GB2312"/>
          <w:sz w:val="32"/>
          <w:szCs w:val="32"/>
        </w:rPr>
        <w:t>万元，比上年增长</w:t>
      </w:r>
      <w:r w:rsidR="00BF1E93" w:rsidRPr="0013481E">
        <w:rPr>
          <w:rFonts w:eastAsia="仿宋_GB2312"/>
          <w:sz w:val="32"/>
          <w:szCs w:val="32"/>
        </w:rPr>
        <w:t>5.9</w:t>
      </w:r>
      <w:r w:rsidRPr="0013481E">
        <w:rPr>
          <w:rFonts w:eastAsia="仿宋_GB2312"/>
          <w:sz w:val="32"/>
          <w:szCs w:val="32"/>
        </w:rPr>
        <w:t>%</w:t>
      </w:r>
      <w:r w:rsidRPr="0013481E">
        <w:rPr>
          <w:rFonts w:eastAsia="仿宋_GB2312"/>
          <w:sz w:val="32"/>
          <w:szCs w:val="32"/>
        </w:rPr>
        <w:t>。在工业增加值中，规模以上工业完成增加值</w:t>
      </w:r>
      <w:r w:rsidR="00BF1E93" w:rsidRPr="0013481E">
        <w:rPr>
          <w:rFonts w:eastAsia="仿宋_GB2312"/>
          <w:sz w:val="32"/>
          <w:szCs w:val="32"/>
        </w:rPr>
        <w:t>126964</w:t>
      </w:r>
      <w:r w:rsidR="00BF1E93" w:rsidRPr="0013481E">
        <w:rPr>
          <w:rFonts w:eastAsia="仿宋_GB2312"/>
          <w:sz w:val="32"/>
          <w:szCs w:val="32"/>
        </w:rPr>
        <w:t>万元，同比增长</w:t>
      </w:r>
      <w:r w:rsidR="00BF1E93" w:rsidRPr="0013481E">
        <w:rPr>
          <w:rFonts w:eastAsia="仿宋_GB2312"/>
          <w:sz w:val="32"/>
          <w:szCs w:val="32"/>
        </w:rPr>
        <w:t>5.2%</w:t>
      </w:r>
      <w:r w:rsidRPr="0013481E">
        <w:rPr>
          <w:rFonts w:eastAsia="仿宋_GB2312"/>
          <w:sz w:val="32"/>
          <w:szCs w:val="32"/>
        </w:rPr>
        <w:t>；其中国有企业</w:t>
      </w:r>
      <w:r w:rsidR="00BF1E93" w:rsidRPr="0013481E">
        <w:rPr>
          <w:rFonts w:eastAsia="仿宋_GB2312"/>
          <w:sz w:val="32"/>
          <w:szCs w:val="32"/>
        </w:rPr>
        <w:t>下降</w:t>
      </w:r>
      <w:r w:rsidR="00BF1E93" w:rsidRPr="0013481E">
        <w:rPr>
          <w:rFonts w:eastAsia="仿宋_GB2312"/>
          <w:sz w:val="32"/>
          <w:szCs w:val="32"/>
        </w:rPr>
        <w:t>51.6</w:t>
      </w:r>
      <w:r w:rsidRPr="0013481E">
        <w:rPr>
          <w:rFonts w:eastAsia="仿宋_GB2312"/>
          <w:sz w:val="32"/>
          <w:szCs w:val="32"/>
        </w:rPr>
        <w:t>%</w:t>
      </w:r>
      <w:r w:rsidRPr="0013481E">
        <w:rPr>
          <w:rFonts w:eastAsia="仿宋_GB2312"/>
          <w:sz w:val="32"/>
          <w:szCs w:val="32"/>
        </w:rPr>
        <w:t>，</w:t>
      </w:r>
      <w:r w:rsidR="00146F7C" w:rsidRPr="0013481E">
        <w:rPr>
          <w:rFonts w:eastAsia="仿宋_GB2312"/>
          <w:sz w:val="32"/>
          <w:szCs w:val="32"/>
        </w:rPr>
        <w:t>民营</w:t>
      </w:r>
      <w:r w:rsidRPr="0013481E">
        <w:rPr>
          <w:rFonts w:eastAsia="仿宋_GB2312"/>
          <w:sz w:val="32"/>
          <w:szCs w:val="32"/>
        </w:rPr>
        <w:t>企业增长</w:t>
      </w:r>
      <w:r w:rsidR="00146F7C" w:rsidRPr="0013481E">
        <w:rPr>
          <w:rFonts w:eastAsia="仿宋_GB2312"/>
          <w:sz w:val="32"/>
          <w:szCs w:val="32"/>
        </w:rPr>
        <w:t>13.0</w:t>
      </w:r>
      <w:r w:rsidRPr="0013481E">
        <w:rPr>
          <w:rFonts w:eastAsia="仿宋_GB2312"/>
          <w:sz w:val="32"/>
          <w:szCs w:val="32"/>
        </w:rPr>
        <w:t>%</w:t>
      </w:r>
      <w:r w:rsidRPr="0013481E">
        <w:rPr>
          <w:rFonts w:eastAsia="仿宋_GB2312"/>
          <w:sz w:val="32"/>
          <w:szCs w:val="32"/>
        </w:rPr>
        <w:t>，外商及港澳台投资企业</w:t>
      </w:r>
      <w:r w:rsidR="00BF1E93" w:rsidRPr="0013481E">
        <w:rPr>
          <w:rFonts w:eastAsia="仿宋_GB2312"/>
          <w:sz w:val="32"/>
          <w:szCs w:val="32"/>
        </w:rPr>
        <w:t>下降</w:t>
      </w:r>
      <w:r w:rsidR="00BF1E93" w:rsidRPr="0013481E">
        <w:rPr>
          <w:rFonts w:eastAsia="仿宋_GB2312"/>
          <w:sz w:val="32"/>
          <w:szCs w:val="32"/>
        </w:rPr>
        <w:t>7.4</w:t>
      </w:r>
      <w:r w:rsidRPr="0013481E">
        <w:rPr>
          <w:rFonts w:eastAsia="仿宋_GB2312"/>
          <w:sz w:val="32"/>
          <w:szCs w:val="32"/>
        </w:rPr>
        <w:t>%</w:t>
      </w:r>
      <w:r w:rsidRPr="0013481E">
        <w:rPr>
          <w:rFonts w:eastAsia="仿宋_GB2312"/>
          <w:sz w:val="32"/>
          <w:szCs w:val="32"/>
        </w:rPr>
        <w:t>；分轻重工业看</w:t>
      </w:r>
      <w:r w:rsidRPr="0013481E">
        <w:rPr>
          <w:rFonts w:eastAsia="仿宋_GB2312"/>
          <w:sz w:val="32"/>
          <w:szCs w:val="32"/>
        </w:rPr>
        <w:t>,</w:t>
      </w:r>
      <w:r w:rsidRPr="0013481E">
        <w:rPr>
          <w:rFonts w:eastAsia="仿宋_GB2312"/>
          <w:sz w:val="32"/>
          <w:szCs w:val="32"/>
        </w:rPr>
        <w:t>轻工业</w:t>
      </w:r>
      <w:r w:rsidR="00BF1E93" w:rsidRPr="0013481E">
        <w:rPr>
          <w:rFonts w:eastAsia="仿宋_GB2312"/>
          <w:sz w:val="32"/>
          <w:szCs w:val="32"/>
        </w:rPr>
        <w:t>增长</w:t>
      </w:r>
      <w:r w:rsidR="00BF1E93" w:rsidRPr="0013481E">
        <w:rPr>
          <w:rFonts w:eastAsia="仿宋_GB2312"/>
          <w:sz w:val="32"/>
          <w:szCs w:val="32"/>
        </w:rPr>
        <w:t>16.4</w:t>
      </w:r>
      <w:r w:rsidRPr="0013481E">
        <w:rPr>
          <w:rFonts w:eastAsia="仿宋_GB2312"/>
          <w:sz w:val="32"/>
          <w:szCs w:val="32"/>
        </w:rPr>
        <w:t>%</w:t>
      </w:r>
      <w:r w:rsidRPr="0013481E">
        <w:rPr>
          <w:rFonts w:eastAsia="仿宋_GB2312"/>
          <w:sz w:val="32"/>
          <w:szCs w:val="32"/>
        </w:rPr>
        <w:t>，重工</w:t>
      </w:r>
      <w:r w:rsidRPr="0013481E">
        <w:rPr>
          <w:rFonts w:eastAsia="仿宋_GB2312"/>
          <w:sz w:val="32"/>
          <w:szCs w:val="32"/>
        </w:rPr>
        <w:lastRenderedPageBreak/>
        <w:t>业</w:t>
      </w:r>
      <w:r w:rsidR="00BF1E93" w:rsidRPr="0013481E">
        <w:rPr>
          <w:rFonts w:eastAsia="仿宋_GB2312"/>
          <w:sz w:val="32"/>
          <w:szCs w:val="32"/>
        </w:rPr>
        <w:t>下降</w:t>
      </w:r>
      <w:r w:rsidR="00BF1E93" w:rsidRPr="0013481E">
        <w:rPr>
          <w:rFonts w:eastAsia="仿宋_GB2312"/>
          <w:sz w:val="32"/>
          <w:szCs w:val="32"/>
        </w:rPr>
        <w:t>1.7</w:t>
      </w:r>
      <w:r w:rsidRPr="0013481E">
        <w:rPr>
          <w:rFonts w:eastAsia="仿宋_GB2312"/>
          <w:sz w:val="32"/>
          <w:szCs w:val="32"/>
        </w:rPr>
        <w:t>%</w:t>
      </w:r>
      <w:r w:rsidRPr="0013481E">
        <w:rPr>
          <w:rFonts w:eastAsia="仿宋_GB2312"/>
          <w:sz w:val="32"/>
          <w:szCs w:val="32"/>
        </w:rPr>
        <w:t>。</w:t>
      </w:r>
    </w:p>
    <w:p w:rsidR="009F732D" w:rsidRPr="0013481E" w:rsidRDefault="009F732D" w:rsidP="00554432">
      <w:pPr>
        <w:spacing w:afterLines="50" w:line="540" w:lineRule="exact"/>
        <w:ind w:left="0" w:firstLineChars="200" w:firstLine="640"/>
        <w:rPr>
          <w:rFonts w:eastAsia="仿宋_GB2312"/>
          <w:color w:val="333333"/>
          <w:sz w:val="32"/>
          <w:szCs w:val="32"/>
          <w:bdr w:val="none" w:sz="0" w:space="0" w:color="auto" w:frame="1"/>
        </w:rPr>
      </w:pPr>
      <w:r w:rsidRPr="0013481E">
        <w:rPr>
          <w:rFonts w:eastAsia="仿宋_GB2312"/>
          <w:noProof/>
          <w:color w:val="333333"/>
          <w:sz w:val="32"/>
          <w:szCs w:val="32"/>
        </w:rPr>
        <w:drawing>
          <wp:anchor distT="0" distB="0" distL="114300" distR="114300" simplePos="0" relativeHeight="251667456" behindDoc="0" locked="0" layoutInCell="1" allowOverlap="1">
            <wp:simplePos x="0" y="0"/>
            <wp:positionH relativeFrom="margin">
              <wp:posOffset>128905</wp:posOffset>
            </wp:positionH>
            <wp:positionV relativeFrom="paragraph">
              <wp:posOffset>161925</wp:posOffset>
            </wp:positionV>
            <wp:extent cx="5886450" cy="3971925"/>
            <wp:effectExtent l="0" t="0" r="0" b="0"/>
            <wp:wrapTopAndBottom/>
            <wp:docPr id="6"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F732D" w:rsidRPr="0013481E" w:rsidRDefault="009F732D" w:rsidP="009F732D">
      <w:pPr>
        <w:spacing w:line="600" w:lineRule="exact"/>
        <w:jc w:val="center"/>
        <w:rPr>
          <w:rFonts w:eastAsia="仿宋_GB2312"/>
          <w:b/>
          <w:sz w:val="28"/>
          <w:szCs w:val="28"/>
        </w:rPr>
      </w:pPr>
      <w:r w:rsidRPr="0013481E">
        <w:rPr>
          <w:rFonts w:eastAsia="仿宋_GB2312"/>
          <w:b/>
          <w:sz w:val="28"/>
          <w:szCs w:val="28"/>
        </w:rPr>
        <w:t>表</w:t>
      </w:r>
      <w:r w:rsidRPr="0013481E">
        <w:rPr>
          <w:rFonts w:eastAsia="仿宋_GB2312"/>
          <w:b/>
          <w:sz w:val="28"/>
          <w:szCs w:val="28"/>
        </w:rPr>
        <w:t>2 2017</w:t>
      </w:r>
      <w:r w:rsidRPr="0013481E">
        <w:rPr>
          <w:rFonts w:eastAsia="仿宋_GB2312"/>
          <w:b/>
          <w:sz w:val="28"/>
          <w:szCs w:val="28"/>
        </w:rPr>
        <w:t>年蕉岭县规模以上工业六大行业情况表</w:t>
      </w:r>
    </w:p>
    <w:tbl>
      <w:tblPr>
        <w:tblW w:w="9655" w:type="dxa"/>
        <w:jc w:val="center"/>
        <w:tblInd w:w="-318" w:type="dxa"/>
        <w:tblBorders>
          <w:top w:val="single" w:sz="12" w:space="0" w:color="auto"/>
          <w:bottom w:val="single" w:sz="12" w:space="0" w:color="auto"/>
          <w:insideH w:val="single" w:sz="4" w:space="0" w:color="auto"/>
          <w:insideV w:val="single" w:sz="4" w:space="0" w:color="auto"/>
        </w:tblBorders>
        <w:tblLayout w:type="fixed"/>
        <w:tblLook w:val="04A0"/>
      </w:tblPr>
      <w:tblGrid>
        <w:gridCol w:w="2306"/>
        <w:gridCol w:w="1153"/>
        <w:gridCol w:w="1153"/>
        <w:gridCol w:w="1153"/>
        <w:gridCol w:w="1153"/>
        <w:gridCol w:w="1297"/>
        <w:gridCol w:w="1440"/>
      </w:tblGrid>
      <w:tr w:rsidR="009F732D" w:rsidRPr="0013481E" w:rsidTr="004B6848">
        <w:trPr>
          <w:trHeight w:val="1214"/>
          <w:jc w:val="center"/>
        </w:trPr>
        <w:tc>
          <w:tcPr>
            <w:tcW w:w="2306"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行业分类</w:t>
            </w:r>
          </w:p>
        </w:tc>
        <w:tc>
          <w:tcPr>
            <w:tcW w:w="1153" w:type="dxa"/>
            <w:shd w:val="clear" w:color="auto" w:fill="auto"/>
            <w:vAlign w:val="center"/>
          </w:tcPr>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2017</w:t>
            </w:r>
            <w:r w:rsidRPr="0013481E">
              <w:rPr>
                <w:rFonts w:eastAsia="仿宋"/>
                <w:sz w:val="24"/>
                <w:szCs w:val="24"/>
              </w:rPr>
              <w:t>年总产值（万元）</w:t>
            </w:r>
          </w:p>
        </w:tc>
        <w:tc>
          <w:tcPr>
            <w:tcW w:w="1153" w:type="dxa"/>
            <w:shd w:val="clear" w:color="auto" w:fill="auto"/>
            <w:vAlign w:val="center"/>
          </w:tcPr>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2016</w:t>
            </w:r>
            <w:r w:rsidRPr="0013481E">
              <w:rPr>
                <w:rFonts w:eastAsia="仿宋"/>
                <w:sz w:val="24"/>
                <w:szCs w:val="24"/>
              </w:rPr>
              <w:t>年总产值</w:t>
            </w:r>
          </w:p>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（万元）</w:t>
            </w:r>
          </w:p>
        </w:tc>
        <w:tc>
          <w:tcPr>
            <w:tcW w:w="1153" w:type="dxa"/>
            <w:shd w:val="clear" w:color="auto" w:fill="auto"/>
            <w:vAlign w:val="center"/>
          </w:tcPr>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2017</w:t>
            </w:r>
            <w:r w:rsidRPr="0013481E">
              <w:rPr>
                <w:rFonts w:eastAsia="仿宋"/>
                <w:sz w:val="24"/>
                <w:szCs w:val="24"/>
              </w:rPr>
              <w:t>年增加值</w:t>
            </w:r>
          </w:p>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（万元）</w:t>
            </w:r>
          </w:p>
        </w:tc>
        <w:tc>
          <w:tcPr>
            <w:tcW w:w="1153" w:type="dxa"/>
            <w:shd w:val="clear" w:color="auto" w:fill="auto"/>
            <w:vAlign w:val="center"/>
          </w:tcPr>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2016</w:t>
            </w:r>
            <w:r w:rsidRPr="0013481E">
              <w:rPr>
                <w:rFonts w:eastAsia="仿宋"/>
                <w:sz w:val="24"/>
                <w:szCs w:val="24"/>
              </w:rPr>
              <w:t>年增加值</w:t>
            </w:r>
          </w:p>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（万元）</w:t>
            </w:r>
          </w:p>
        </w:tc>
        <w:tc>
          <w:tcPr>
            <w:tcW w:w="1297" w:type="dxa"/>
            <w:shd w:val="clear" w:color="auto" w:fill="auto"/>
            <w:vAlign w:val="center"/>
          </w:tcPr>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增加值</w:t>
            </w:r>
          </w:p>
          <w:p w:rsidR="009F732D" w:rsidRPr="0013481E" w:rsidRDefault="009F732D" w:rsidP="004B6848">
            <w:pPr>
              <w:widowControl/>
              <w:spacing w:line="340" w:lineRule="exact"/>
              <w:jc w:val="center"/>
              <w:rPr>
                <w:rFonts w:eastAsia="仿宋"/>
                <w:sz w:val="24"/>
                <w:szCs w:val="24"/>
              </w:rPr>
            </w:pPr>
            <w:r w:rsidRPr="0013481E">
              <w:rPr>
                <w:rFonts w:eastAsia="仿宋"/>
                <w:sz w:val="24"/>
                <w:szCs w:val="24"/>
              </w:rPr>
              <w:t>同比增长</w:t>
            </w:r>
          </w:p>
        </w:tc>
        <w:tc>
          <w:tcPr>
            <w:tcW w:w="1440" w:type="dxa"/>
            <w:shd w:val="clear" w:color="auto" w:fill="auto"/>
            <w:vAlign w:val="center"/>
          </w:tcPr>
          <w:p w:rsidR="009F732D" w:rsidRPr="0013481E" w:rsidRDefault="00220BAF" w:rsidP="00220BAF">
            <w:pPr>
              <w:widowControl/>
              <w:spacing w:line="340" w:lineRule="exact"/>
              <w:jc w:val="center"/>
              <w:rPr>
                <w:rFonts w:eastAsia="仿宋"/>
                <w:sz w:val="24"/>
                <w:szCs w:val="24"/>
              </w:rPr>
            </w:pPr>
            <w:r w:rsidRPr="0013481E">
              <w:rPr>
                <w:rFonts w:eastAsia="仿宋"/>
                <w:sz w:val="24"/>
                <w:szCs w:val="24"/>
              </w:rPr>
              <w:t>占</w:t>
            </w:r>
            <w:r w:rsidR="009F732D" w:rsidRPr="0013481E">
              <w:rPr>
                <w:rFonts w:eastAsia="仿宋"/>
                <w:sz w:val="24"/>
                <w:szCs w:val="24"/>
              </w:rPr>
              <w:t>全县</w:t>
            </w:r>
            <w:r w:rsidRPr="0013481E">
              <w:rPr>
                <w:rFonts w:eastAsia="仿宋"/>
                <w:sz w:val="24"/>
                <w:szCs w:val="24"/>
              </w:rPr>
              <w:t>规上工业</w:t>
            </w:r>
            <w:r w:rsidR="009F732D" w:rsidRPr="0013481E">
              <w:rPr>
                <w:rFonts w:eastAsia="仿宋"/>
                <w:sz w:val="24"/>
                <w:szCs w:val="24"/>
              </w:rPr>
              <w:t>增加值</w:t>
            </w:r>
            <w:r w:rsidRPr="0013481E">
              <w:rPr>
                <w:rFonts w:eastAsia="仿宋"/>
                <w:sz w:val="24"/>
                <w:szCs w:val="24"/>
              </w:rPr>
              <w:t>比重</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400" w:lineRule="exact"/>
              <w:jc w:val="left"/>
              <w:rPr>
                <w:rFonts w:eastAsia="仿宋"/>
                <w:sz w:val="24"/>
                <w:szCs w:val="24"/>
              </w:rPr>
            </w:pPr>
            <w:r w:rsidRPr="0013481E">
              <w:rPr>
                <w:rFonts w:eastAsia="仿宋"/>
                <w:sz w:val="24"/>
                <w:szCs w:val="24"/>
              </w:rPr>
              <w:t>水泥制造</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358911</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271055</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65091</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57464</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15.30%</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51.3%</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400" w:lineRule="exact"/>
              <w:jc w:val="left"/>
              <w:rPr>
                <w:rFonts w:eastAsia="仿宋"/>
                <w:sz w:val="24"/>
                <w:szCs w:val="24"/>
              </w:rPr>
            </w:pPr>
            <w:r w:rsidRPr="0013481E">
              <w:rPr>
                <w:rFonts w:eastAsia="仿宋"/>
                <w:sz w:val="24"/>
                <w:szCs w:val="24"/>
              </w:rPr>
              <w:t>电力生产和供应业</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42793</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73702</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15574</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24316</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-38.6%</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21.4%</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400" w:lineRule="exact"/>
              <w:jc w:val="left"/>
              <w:rPr>
                <w:rFonts w:eastAsia="仿宋"/>
                <w:sz w:val="24"/>
                <w:szCs w:val="24"/>
              </w:rPr>
            </w:pPr>
            <w:r w:rsidRPr="0013481E">
              <w:rPr>
                <w:rFonts w:eastAsia="仿宋"/>
                <w:sz w:val="24"/>
                <w:szCs w:val="24"/>
              </w:rPr>
              <w:t>其他建筑材料制造</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55257</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52872</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14792</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13218</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17.8%</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11.7%</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400" w:lineRule="exact"/>
              <w:jc w:val="left"/>
              <w:rPr>
                <w:rFonts w:eastAsia="仿宋"/>
                <w:sz w:val="24"/>
                <w:szCs w:val="24"/>
              </w:rPr>
            </w:pPr>
            <w:r w:rsidRPr="0013481E">
              <w:rPr>
                <w:rFonts w:eastAsia="仿宋"/>
                <w:sz w:val="24"/>
                <w:szCs w:val="24"/>
              </w:rPr>
              <w:t>家具制造业</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19979</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18403</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5367</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5295</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7.2%</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4.2%</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340" w:lineRule="exact"/>
              <w:jc w:val="left"/>
              <w:rPr>
                <w:rFonts w:eastAsia="仿宋"/>
                <w:sz w:val="24"/>
                <w:szCs w:val="24"/>
              </w:rPr>
            </w:pPr>
            <w:r w:rsidRPr="0013481E">
              <w:rPr>
                <w:rFonts w:eastAsia="仿宋"/>
                <w:sz w:val="24"/>
                <w:szCs w:val="24"/>
              </w:rPr>
              <w:t>造纸和纸制品业</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23852</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14308</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4646</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3074</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51.1</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3.7%</w:t>
            </w:r>
          </w:p>
        </w:tc>
      </w:tr>
      <w:tr w:rsidR="009F732D" w:rsidRPr="0013481E" w:rsidTr="004B6848">
        <w:trPr>
          <w:trHeight w:val="448"/>
          <w:jc w:val="center"/>
        </w:trPr>
        <w:tc>
          <w:tcPr>
            <w:tcW w:w="2306" w:type="dxa"/>
            <w:shd w:val="clear" w:color="auto" w:fill="auto"/>
            <w:vAlign w:val="center"/>
          </w:tcPr>
          <w:p w:rsidR="009F732D" w:rsidRPr="0013481E" w:rsidRDefault="009F732D" w:rsidP="004B6848">
            <w:pPr>
              <w:widowControl/>
              <w:spacing w:line="340" w:lineRule="exact"/>
              <w:jc w:val="left"/>
              <w:rPr>
                <w:rFonts w:eastAsia="仿宋"/>
                <w:sz w:val="24"/>
                <w:szCs w:val="24"/>
              </w:rPr>
            </w:pPr>
            <w:r w:rsidRPr="0013481E">
              <w:rPr>
                <w:rFonts w:eastAsia="仿宋"/>
                <w:sz w:val="24"/>
                <w:szCs w:val="24"/>
              </w:rPr>
              <w:t>专用设备和其它电子设备制造业</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15794</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17516</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4033</w:t>
            </w:r>
          </w:p>
        </w:tc>
        <w:tc>
          <w:tcPr>
            <w:tcW w:w="1153"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4404</w:t>
            </w:r>
          </w:p>
        </w:tc>
        <w:tc>
          <w:tcPr>
            <w:tcW w:w="1297" w:type="dxa"/>
            <w:shd w:val="clear" w:color="000000" w:fill="FFFFFF"/>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6.1%</w:t>
            </w:r>
          </w:p>
        </w:tc>
        <w:tc>
          <w:tcPr>
            <w:tcW w:w="1440" w:type="dxa"/>
            <w:shd w:val="clear" w:color="auto" w:fill="auto"/>
            <w:vAlign w:val="center"/>
          </w:tcPr>
          <w:p w:rsidR="009F732D" w:rsidRPr="0013481E" w:rsidRDefault="009F732D" w:rsidP="004B6848">
            <w:pPr>
              <w:widowControl/>
              <w:spacing w:line="400" w:lineRule="exact"/>
              <w:jc w:val="center"/>
              <w:rPr>
                <w:rFonts w:eastAsia="仿宋"/>
                <w:sz w:val="24"/>
                <w:szCs w:val="24"/>
              </w:rPr>
            </w:pPr>
            <w:r w:rsidRPr="0013481E">
              <w:rPr>
                <w:rFonts w:eastAsia="仿宋"/>
                <w:sz w:val="24"/>
                <w:szCs w:val="24"/>
              </w:rPr>
              <w:t>3.2%</w:t>
            </w:r>
          </w:p>
        </w:tc>
      </w:tr>
    </w:tbl>
    <w:p w:rsidR="009F732D" w:rsidRPr="0013481E" w:rsidRDefault="009F732D" w:rsidP="00554432">
      <w:pPr>
        <w:spacing w:afterLines="50" w:line="540" w:lineRule="exact"/>
        <w:ind w:left="0"/>
        <w:rPr>
          <w:rFonts w:eastAsia="仿宋_GB2312"/>
          <w:color w:val="333333"/>
          <w:sz w:val="32"/>
          <w:szCs w:val="32"/>
          <w:bdr w:val="none" w:sz="0" w:space="0" w:color="auto" w:frame="1"/>
        </w:rPr>
      </w:pPr>
    </w:p>
    <w:p w:rsidR="007463CF" w:rsidRPr="0013481E" w:rsidRDefault="009A07A8" w:rsidP="00554432">
      <w:pPr>
        <w:spacing w:afterLines="50" w:line="540" w:lineRule="exact"/>
        <w:ind w:left="0" w:firstLineChars="200" w:firstLine="640"/>
        <w:rPr>
          <w:rFonts w:eastAsia="仿宋_GB2312"/>
          <w:color w:val="333333"/>
          <w:sz w:val="32"/>
          <w:szCs w:val="32"/>
          <w:bdr w:val="none" w:sz="0" w:space="0" w:color="auto" w:frame="1"/>
        </w:rPr>
      </w:pPr>
      <w:r w:rsidRPr="0013481E">
        <w:rPr>
          <w:rFonts w:eastAsia="仿宋_GB2312"/>
          <w:color w:val="333333"/>
          <w:sz w:val="32"/>
          <w:szCs w:val="32"/>
          <w:bdr w:val="none" w:sz="0" w:space="0" w:color="auto" w:frame="1"/>
        </w:rPr>
        <w:lastRenderedPageBreak/>
        <w:t>2017</w:t>
      </w:r>
      <w:r w:rsidRPr="0013481E">
        <w:rPr>
          <w:rFonts w:eastAsia="仿宋_GB2312"/>
          <w:color w:val="333333"/>
          <w:sz w:val="32"/>
          <w:szCs w:val="32"/>
          <w:bdr w:val="none" w:sz="0" w:space="0" w:color="auto" w:frame="1"/>
        </w:rPr>
        <w:t>年，蕉岭县规模以上工业企业实现主营业务收入</w:t>
      </w:r>
      <w:r w:rsidRPr="0013481E">
        <w:rPr>
          <w:rFonts w:eastAsia="仿宋_GB2312"/>
          <w:color w:val="333333"/>
          <w:sz w:val="32"/>
          <w:szCs w:val="32"/>
          <w:bdr w:val="none" w:sz="0" w:space="0" w:color="auto" w:frame="1"/>
        </w:rPr>
        <w:t>506365</w:t>
      </w:r>
      <w:r w:rsidRPr="0013481E">
        <w:rPr>
          <w:rFonts w:eastAsia="仿宋_GB2312"/>
          <w:color w:val="333333"/>
          <w:sz w:val="32"/>
          <w:szCs w:val="32"/>
          <w:bdr w:val="none" w:sz="0" w:space="0" w:color="auto" w:frame="1"/>
        </w:rPr>
        <w:t>万元，同比增长</w:t>
      </w:r>
      <w:r w:rsidRPr="0013481E">
        <w:rPr>
          <w:rFonts w:eastAsia="仿宋_GB2312"/>
          <w:color w:val="333333"/>
          <w:sz w:val="32"/>
          <w:szCs w:val="32"/>
          <w:bdr w:val="none" w:sz="0" w:space="0" w:color="auto" w:frame="1"/>
        </w:rPr>
        <w:t>17.32 %</w:t>
      </w:r>
      <w:r w:rsidRPr="0013481E">
        <w:rPr>
          <w:rFonts w:eastAsia="仿宋_GB2312"/>
          <w:color w:val="333333"/>
          <w:sz w:val="32"/>
          <w:szCs w:val="32"/>
          <w:bdr w:val="none" w:sz="0" w:space="0" w:color="auto" w:frame="1"/>
        </w:rPr>
        <w:t>；实现利润总额</w:t>
      </w:r>
      <w:r w:rsidRPr="0013481E">
        <w:rPr>
          <w:rFonts w:eastAsia="仿宋_GB2312"/>
          <w:color w:val="333333"/>
          <w:sz w:val="32"/>
          <w:szCs w:val="32"/>
          <w:bdr w:val="none" w:sz="0" w:space="0" w:color="auto" w:frame="1"/>
        </w:rPr>
        <w:t>32352</w:t>
      </w:r>
      <w:r w:rsidRPr="0013481E">
        <w:rPr>
          <w:rFonts w:eastAsia="仿宋_GB2312"/>
          <w:color w:val="333333"/>
          <w:sz w:val="32"/>
          <w:szCs w:val="32"/>
          <w:bdr w:val="none" w:sz="0" w:space="0" w:color="auto" w:frame="1"/>
        </w:rPr>
        <w:t>万元，同比增长</w:t>
      </w:r>
      <w:r w:rsidRPr="0013481E">
        <w:rPr>
          <w:rFonts w:eastAsia="仿宋_GB2312"/>
          <w:color w:val="333333"/>
          <w:sz w:val="32"/>
          <w:szCs w:val="32"/>
          <w:bdr w:val="none" w:sz="0" w:space="0" w:color="auto" w:frame="1"/>
        </w:rPr>
        <w:t>3.51%</w:t>
      </w:r>
      <w:r w:rsidRPr="0013481E">
        <w:rPr>
          <w:rFonts w:eastAsia="仿宋_GB2312"/>
          <w:color w:val="333333"/>
          <w:sz w:val="32"/>
          <w:szCs w:val="32"/>
          <w:bdr w:val="none" w:sz="0" w:space="0" w:color="auto" w:frame="1"/>
        </w:rPr>
        <w:t>，亏损企业亏损面为</w:t>
      </w:r>
      <w:r w:rsidRPr="0013481E">
        <w:rPr>
          <w:rFonts w:eastAsia="仿宋_GB2312"/>
          <w:color w:val="333333"/>
          <w:sz w:val="32"/>
          <w:szCs w:val="32"/>
          <w:bdr w:val="none" w:sz="0" w:space="0" w:color="auto" w:frame="1"/>
        </w:rPr>
        <w:t>28.6%</w:t>
      </w:r>
      <w:r w:rsidRPr="0013481E">
        <w:rPr>
          <w:rFonts w:eastAsia="仿宋_GB2312"/>
          <w:color w:val="333333"/>
          <w:sz w:val="32"/>
          <w:szCs w:val="32"/>
          <w:bdr w:val="none" w:sz="0" w:space="0" w:color="auto" w:frame="1"/>
        </w:rPr>
        <w:t>，比上年同期收窄</w:t>
      </w:r>
      <w:r w:rsidRPr="0013481E">
        <w:rPr>
          <w:rFonts w:eastAsia="仿宋_GB2312"/>
          <w:color w:val="333333"/>
          <w:sz w:val="32"/>
          <w:szCs w:val="32"/>
          <w:bdr w:val="none" w:sz="0" w:space="0" w:color="auto" w:frame="1"/>
        </w:rPr>
        <w:t>5.7</w:t>
      </w:r>
      <w:r w:rsidRPr="0013481E">
        <w:rPr>
          <w:rFonts w:eastAsia="仿宋_GB2312"/>
          <w:color w:val="333333"/>
          <w:sz w:val="32"/>
          <w:szCs w:val="32"/>
          <w:bdr w:val="none" w:sz="0" w:space="0" w:color="auto" w:frame="1"/>
        </w:rPr>
        <w:t>个百分点。</w:t>
      </w:r>
    </w:p>
    <w:p w:rsidR="00146F7C" w:rsidRPr="0013481E" w:rsidRDefault="00B528D5" w:rsidP="00554432">
      <w:pPr>
        <w:spacing w:afterLines="50" w:line="540" w:lineRule="exact"/>
        <w:ind w:left="0" w:firstLineChars="200" w:firstLine="643"/>
        <w:rPr>
          <w:rFonts w:eastAsia="仿宋_GB2312"/>
          <w:color w:val="333333"/>
          <w:sz w:val="32"/>
          <w:szCs w:val="32"/>
          <w:bdr w:val="none" w:sz="0" w:space="0" w:color="auto" w:frame="1"/>
        </w:rPr>
      </w:pPr>
      <w:r w:rsidRPr="0013481E">
        <w:rPr>
          <w:rFonts w:eastAsia="仿宋_GB2312"/>
          <w:b/>
          <w:color w:val="333333"/>
          <w:sz w:val="32"/>
          <w:szCs w:val="32"/>
          <w:bdr w:val="none" w:sz="0" w:space="0" w:color="auto" w:frame="1"/>
        </w:rPr>
        <w:t>“</w:t>
      </w:r>
      <w:r w:rsidR="00DF382A" w:rsidRPr="0013481E">
        <w:rPr>
          <w:rFonts w:eastAsia="仿宋_GB2312"/>
          <w:b/>
          <w:color w:val="333333"/>
          <w:sz w:val="32"/>
          <w:szCs w:val="32"/>
          <w:bdr w:val="none" w:sz="0" w:space="0" w:color="auto" w:frame="1"/>
        </w:rPr>
        <w:t>十八大</w:t>
      </w:r>
      <w:r w:rsidRPr="0013481E">
        <w:rPr>
          <w:rFonts w:eastAsia="仿宋_GB2312"/>
          <w:b/>
          <w:color w:val="333333"/>
          <w:sz w:val="32"/>
          <w:szCs w:val="32"/>
          <w:bdr w:val="none" w:sz="0" w:space="0" w:color="auto" w:frame="1"/>
        </w:rPr>
        <w:t>”</w:t>
      </w:r>
      <w:r w:rsidR="00DF382A" w:rsidRPr="0013481E">
        <w:rPr>
          <w:rFonts w:eastAsia="仿宋_GB2312"/>
          <w:b/>
          <w:color w:val="333333"/>
          <w:sz w:val="32"/>
          <w:szCs w:val="32"/>
          <w:bdr w:val="none" w:sz="0" w:space="0" w:color="auto" w:frame="1"/>
        </w:rPr>
        <w:t>以来规模以上工业发展情况：从规摸以上工业企业家数看，</w:t>
      </w:r>
      <w:r w:rsidR="00DF382A" w:rsidRPr="0013481E">
        <w:rPr>
          <w:rFonts w:eastAsia="仿宋_GB2312"/>
          <w:color w:val="333333"/>
          <w:sz w:val="32"/>
          <w:szCs w:val="32"/>
          <w:bdr w:val="none" w:sz="0" w:space="0" w:color="auto" w:frame="1"/>
        </w:rPr>
        <w:t>2017</w:t>
      </w:r>
      <w:r w:rsidR="00DF382A" w:rsidRPr="0013481E">
        <w:rPr>
          <w:rFonts w:eastAsia="仿宋_GB2312"/>
          <w:color w:val="333333"/>
          <w:sz w:val="32"/>
          <w:szCs w:val="32"/>
          <w:bdr w:val="none" w:sz="0" w:space="0" w:color="auto" w:frame="1"/>
        </w:rPr>
        <w:t>年，全县具有规模以上工业企业</w:t>
      </w:r>
      <w:r w:rsidR="00DF382A" w:rsidRPr="0013481E">
        <w:rPr>
          <w:rFonts w:eastAsia="仿宋_GB2312"/>
          <w:color w:val="333333"/>
          <w:sz w:val="32"/>
          <w:szCs w:val="32"/>
          <w:bdr w:val="none" w:sz="0" w:space="0" w:color="auto" w:frame="1"/>
        </w:rPr>
        <w:t>35</w:t>
      </w:r>
      <w:r w:rsidR="00DF382A" w:rsidRPr="0013481E">
        <w:rPr>
          <w:rFonts w:eastAsia="仿宋_GB2312"/>
          <w:color w:val="333333"/>
          <w:sz w:val="32"/>
          <w:szCs w:val="32"/>
          <w:bdr w:val="none" w:sz="0" w:space="0" w:color="auto" w:frame="1"/>
        </w:rPr>
        <w:t>家，比</w:t>
      </w:r>
      <w:r w:rsidR="00DF382A" w:rsidRPr="0013481E">
        <w:rPr>
          <w:rFonts w:eastAsia="仿宋_GB2312"/>
          <w:color w:val="333333"/>
          <w:sz w:val="32"/>
          <w:szCs w:val="32"/>
          <w:bdr w:val="none" w:sz="0" w:space="0" w:color="auto" w:frame="1"/>
        </w:rPr>
        <w:t>2012</w:t>
      </w:r>
      <w:r w:rsidR="00DF382A" w:rsidRPr="0013481E">
        <w:rPr>
          <w:rFonts w:eastAsia="仿宋_GB2312"/>
          <w:color w:val="333333"/>
          <w:sz w:val="32"/>
          <w:szCs w:val="32"/>
          <w:bdr w:val="none" w:sz="0" w:space="0" w:color="auto" w:frame="1"/>
        </w:rPr>
        <w:t>年净新增</w:t>
      </w:r>
      <w:r w:rsidR="00DF382A" w:rsidRPr="0013481E">
        <w:rPr>
          <w:rFonts w:eastAsia="仿宋_GB2312"/>
          <w:color w:val="333333"/>
          <w:sz w:val="32"/>
          <w:szCs w:val="32"/>
          <w:bdr w:val="none" w:sz="0" w:space="0" w:color="auto" w:frame="1"/>
        </w:rPr>
        <w:t>12</w:t>
      </w:r>
      <w:r w:rsidR="00DF382A" w:rsidRPr="0013481E">
        <w:rPr>
          <w:rFonts w:eastAsia="仿宋_GB2312"/>
          <w:color w:val="333333"/>
          <w:sz w:val="32"/>
          <w:szCs w:val="32"/>
          <w:bdr w:val="none" w:sz="0" w:space="0" w:color="auto" w:frame="1"/>
        </w:rPr>
        <w:t>家；</w:t>
      </w:r>
      <w:r w:rsidR="00DF382A" w:rsidRPr="0013481E">
        <w:rPr>
          <w:rFonts w:eastAsia="仿宋_GB2312"/>
          <w:b/>
          <w:color w:val="333333"/>
          <w:sz w:val="32"/>
          <w:szCs w:val="32"/>
          <w:bdr w:val="none" w:sz="0" w:space="0" w:color="auto" w:frame="1"/>
        </w:rPr>
        <w:t>从年均增长看，</w:t>
      </w:r>
      <w:r w:rsidR="00DF382A" w:rsidRPr="0013481E">
        <w:rPr>
          <w:rFonts w:eastAsia="仿宋_GB2312"/>
          <w:color w:val="333333"/>
          <w:sz w:val="32"/>
          <w:szCs w:val="32"/>
          <w:bdr w:val="none" w:sz="0" w:space="0" w:color="auto" w:frame="1"/>
        </w:rPr>
        <w:t>2017</w:t>
      </w:r>
      <w:r w:rsidR="00DF382A" w:rsidRPr="0013481E">
        <w:rPr>
          <w:rFonts w:eastAsia="仿宋_GB2312"/>
          <w:color w:val="333333"/>
          <w:sz w:val="32"/>
          <w:szCs w:val="32"/>
          <w:bdr w:val="none" w:sz="0" w:space="0" w:color="auto" w:frame="1"/>
        </w:rPr>
        <w:t>年实现规上工业增加值</w:t>
      </w:r>
      <w:r w:rsidR="00DF382A" w:rsidRPr="0013481E">
        <w:rPr>
          <w:rFonts w:eastAsia="仿宋_GB2312"/>
          <w:color w:val="333333"/>
          <w:sz w:val="32"/>
          <w:szCs w:val="32"/>
          <w:bdr w:val="none" w:sz="0" w:space="0" w:color="auto" w:frame="1"/>
        </w:rPr>
        <w:t>12.69</w:t>
      </w:r>
      <w:r w:rsidR="00DF382A" w:rsidRPr="0013481E">
        <w:rPr>
          <w:rFonts w:eastAsia="仿宋_GB2312"/>
          <w:color w:val="333333"/>
          <w:sz w:val="32"/>
          <w:szCs w:val="32"/>
          <w:bdr w:val="none" w:sz="0" w:space="0" w:color="auto" w:frame="1"/>
        </w:rPr>
        <w:t>亿元，比</w:t>
      </w:r>
      <w:r w:rsidR="00DF382A" w:rsidRPr="0013481E">
        <w:rPr>
          <w:rFonts w:eastAsia="仿宋_GB2312"/>
          <w:color w:val="333333"/>
          <w:sz w:val="32"/>
          <w:szCs w:val="32"/>
          <w:bdr w:val="none" w:sz="0" w:space="0" w:color="auto" w:frame="1"/>
        </w:rPr>
        <w:t>2012</w:t>
      </w:r>
      <w:r w:rsidR="00DF382A" w:rsidRPr="0013481E">
        <w:rPr>
          <w:rFonts w:eastAsia="仿宋_GB2312"/>
          <w:color w:val="333333"/>
          <w:sz w:val="32"/>
          <w:szCs w:val="32"/>
          <w:bdr w:val="none" w:sz="0" w:space="0" w:color="auto" w:frame="1"/>
        </w:rPr>
        <w:t>年多</w:t>
      </w:r>
      <w:r w:rsidR="00DF382A" w:rsidRPr="0013481E">
        <w:rPr>
          <w:rFonts w:eastAsia="仿宋_GB2312"/>
          <w:color w:val="333333"/>
          <w:sz w:val="32"/>
          <w:szCs w:val="32"/>
          <w:bdr w:val="none" w:sz="0" w:space="0" w:color="auto" w:frame="1"/>
        </w:rPr>
        <w:t>6.1</w:t>
      </w:r>
      <w:r w:rsidR="00DF382A" w:rsidRPr="0013481E">
        <w:rPr>
          <w:rFonts w:eastAsia="仿宋_GB2312"/>
          <w:color w:val="333333"/>
          <w:sz w:val="32"/>
          <w:szCs w:val="32"/>
          <w:bdr w:val="none" w:sz="0" w:space="0" w:color="auto" w:frame="1"/>
        </w:rPr>
        <w:t>亿元，</w:t>
      </w:r>
      <w:r w:rsidR="001D7BEA" w:rsidRPr="0013481E">
        <w:rPr>
          <w:rFonts w:eastAsia="仿宋_GB2312"/>
          <w:color w:val="333333"/>
          <w:sz w:val="32"/>
          <w:szCs w:val="32"/>
          <w:bdr w:val="none" w:sz="0" w:space="0" w:color="auto" w:frame="1"/>
        </w:rPr>
        <w:t>五</w:t>
      </w:r>
      <w:r w:rsidR="00DF382A" w:rsidRPr="0013481E">
        <w:rPr>
          <w:rFonts w:eastAsia="仿宋_GB2312"/>
          <w:color w:val="333333"/>
          <w:sz w:val="32"/>
          <w:szCs w:val="32"/>
          <w:bdr w:val="none" w:sz="0" w:space="0" w:color="auto" w:frame="1"/>
        </w:rPr>
        <w:t>年年均增长</w:t>
      </w:r>
      <w:r w:rsidR="00DF382A" w:rsidRPr="0013481E">
        <w:rPr>
          <w:rFonts w:eastAsia="仿宋_GB2312"/>
          <w:color w:val="333333"/>
          <w:sz w:val="32"/>
          <w:szCs w:val="32"/>
          <w:bdr w:val="none" w:sz="0" w:space="0" w:color="auto" w:frame="1"/>
        </w:rPr>
        <w:t>11.34%</w:t>
      </w:r>
      <w:r w:rsidR="00DF382A" w:rsidRPr="0013481E">
        <w:rPr>
          <w:rFonts w:eastAsia="仿宋_GB2312"/>
          <w:color w:val="333333"/>
          <w:sz w:val="32"/>
          <w:szCs w:val="32"/>
          <w:bdr w:val="none" w:sz="0" w:space="0" w:color="auto" w:frame="1"/>
        </w:rPr>
        <w:t>，比全市高</w:t>
      </w:r>
      <w:r w:rsidR="00DF382A" w:rsidRPr="0013481E">
        <w:rPr>
          <w:rFonts w:eastAsia="仿宋_GB2312"/>
          <w:color w:val="333333"/>
          <w:sz w:val="32"/>
          <w:szCs w:val="32"/>
          <w:bdr w:val="none" w:sz="0" w:space="0" w:color="auto" w:frame="1"/>
        </w:rPr>
        <w:t>5.21</w:t>
      </w:r>
      <w:r w:rsidR="00DF382A" w:rsidRPr="0013481E">
        <w:rPr>
          <w:rFonts w:eastAsia="仿宋_GB2312"/>
          <w:color w:val="333333"/>
          <w:sz w:val="32"/>
          <w:szCs w:val="32"/>
          <w:bdr w:val="none" w:sz="0" w:space="0" w:color="auto" w:frame="1"/>
        </w:rPr>
        <w:t>个百分点；</w:t>
      </w:r>
      <w:r w:rsidR="00DF382A" w:rsidRPr="0013481E">
        <w:rPr>
          <w:rFonts w:eastAsia="仿宋_GB2312"/>
          <w:b/>
          <w:color w:val="333333"/>
          <w:sz w:val="32"/>
          <w:szCs w:val="32"/>
          <w:bdr w:val="none" w:sz="0" w:space="0" w:color="auto" w:frame="1"/>
        </w:rPr>
        <w:t>从占全市比重看，</w:t>
      </w:r>
      <w:r w:rsidR="00DF382A" w:rsidRPr="0013481E">
        <w:rPr>
          <w:rFonts w:eastAsia="仿宋_GB2312"/>
          <w:color w:val="333333"/>
          <w:sz w:val="32"/>
          <w:szCs w:val="32"/>
          <w:bdr w:val="none" w:sz="0" w:space="0" w:color="auto" w:frame="1"/>
        </w:rPr>
        <w:t>2017</w:t>
      </w:r>
      <w:r w:rsidR="00DF382A" w:rsidRPr="0013481E">
        <w:rPr>
          <w:rFonts w:eastAsia="仿宋_GB2312"/>
          <w:color w:val="333333"/>
          <w:sz w:val="32"/>
          <w:szCs w:val="32"/>
          <w:bdr w:val="none" w:sz="0" w:space="0" w:color="auto" w:frame="1"/>
        </w:rPr>
        <w:t>年蕉岭县规模以上工业增加值占全市</w:t>
      </w:r>
      <w:r w:rsidR="00DF382A" w:rsidRPr="0013481E">
        <w:rPr>
          <w:rFonts w:eastAsia="仿宋_GB2312"/>
          <w:color w:val="333333"/>
          <w:sz w:val="32"/>
          <w:szCs w:val="32"/>
          <w:bdr w:val="none" w:sz="0" w:space="0" w:color="auto" w:frame="1"/>
        </w:rPr>
        <w:t>6.2%</w:t>
      </w:r>
      <w:r w:rsidR="00DF382A" w:rsidRPr="0013481E">
        <w:rPr>
          <w:rFonts w:eastAsia="仿宋_GB2312"/>
          <w:color w:val="333333"/>
          <w:sz w:val="32"/>
          <w:szCs w:val="32"/>
          <w:bdr w:val="none" w:sz="0" w:space="0" w:color="auto" w:frame="1"/>
        </w:rPr>
        <w:t>，比</w:t>
      </w:r>
      <w:r w:rsidR="00DF382A" w:rsidRPr="0013481E">
        <w:rPr>
          <w:rFonts w:eastAsia="仿宋_GB2312"/>
          <w:color w:val="333333"/>
          <w:sz w:val="32"/>
          <w:szCs w:val="32"/>
          <w:bdr w:val="none" w:sz="0" w:space="0" w:color="auto" w:frame="1"/>
        </w:rPr>
        <w:t>2012</w:t>
      </w:r>
      <w:r w:rsidR="00DF382A" w:rsidRPr="0013481E">
        <w:rPr>
          <w:rFonts w:eastAsia="仿宋_GB2312"/>
          <w:color w:val="333333"/>
          <w:sz w:val="32"/>
          <w:szCs w:val="32"/>
          <w:bdr w:val="none" w:sz="0" w:space="0" w:color="auto" w:frame="1"/>
        </w:rPr>
        <w:t>年提高</w:t>
      </w:r>
      <w:r w:rsidR="00DF382A" w:rsidRPr="0013481E">
        <w:rPr>
          <w:rFonts w:eastAsia="仿宋_GB2312"/>
          <w:color w:val="333333"/>
          <w:sz w:val="32"/>
          <w:szCs w:val="32"/>
          <w:bdr w:val="none" w:sz="0" w:space="0" w:color="auto" w:frame="1"/>
        </w:rPr>
        <w:t>2.1</w:t>
      </w:r>
      <w:r w:rsidR="00DF382A" w:rsidRPr="0013481E">
        <w:rPr>
          <w:rFonts w:eastAsia="仿宋_GB2312"/>
          <w:color w:val="333333"/>
          <w:sz w:val="32"/>
          <w:szCs w:val="32"/>
          <w:bdr w:val="none" w:sz="0" w:space="0" w:color="auto" w:frame="1"/>
        </w:rPr>
        <w:t>个百分点；</w:t>
      </w:r>
      <w:r w:rsidR="00DF382A" w:rsidRPr="0013481E">
        <w:rPr>
          <w:rFonts w:eastAsia="仿宋_GB2312"/>
          <w:b/>
          <w:color w:val="333333"/>
          <w:sz w:val="32"/>
          <w:szCs w:val="32"/>
          <w:bdr w:val="none" w:sz="0" w:space="0" w:color="auto" w:frame="1"/>
        </w:rPr>
        <w:t>从支柱产业看，</w:t>
      </w:r>
      <w:r w:rsidR="00DF382A" w:rsidRPr="0013481E">
        <w:rPr>
          <w:rFonts w:eastAsia="仿宋_GB2312"/>
          <w:color w:val="333333"/>
          <w:sz w:val="32"/>
          <w:szCs w:val="32"/>
          <w:bdr w:val="none" w:sz="0" w:space="0" w:color="auto" w:frame="1"/>
        </w:rPr>
        <w:t>2017</w:t>
      </w:r>
      <w:r w:rsidR="00DF382A" w:rsidRPr="0013481E">
        <w:rPr>
          <w:rFonts w:eastAsia="仿宋_GB2312"/>
          <w:color w:val="333333"/>
          <w:sz w:val="32"/>
          <w:szCs w:val="32"/>
          <w:bdr w:val="none" w:sz="0" w:space="0" w:color="auto" w:frame="1"/>
        </w:rPr>
        <w:t>年，</w:t>
      </w:r>
      <w:r w:rsidR="009D3639" w:rsidRPr="0013481E">
        <w:rPr>
          <w:rFonts w:eastAsia="仿宋_GB2312"/>
          <w:color w:val="333333"/>
          <w:sz w:val="32"/>
          <w:szCs w:val="32"/>
          <w:bdr w:val="none" w:sz="0" w:space="0" w:color="auto" w:frame="1"/>
        </w:rPr>
        <w:t>全</w:t>
      </w:r>
      <w:r w:rsidR="00DF382A" w:rsidRPr="0013481E">
        <w:rPr>
          <w:rFonts w:eastAsia="仿宋_GB2312"/>
          <w:color w:val="333333"/>
          <w:sz w:val="32"/>
          <w:szCs w:val="32"/>
          <w:bdr w:val="none" w:sz="0" w:space="0" w:color="auto" w:frame="1"/>
        </w:rPr>
        <w:t>县规模以上新型建材产业</w:t>
      </w:r>
      <w:r w:rsidR="00DF382A" w:rsidRPr="0013481E">
        <w:rPr>
          <w:rFonts w:eastAsia="仿宋_GB2312"/>
          <w:color w:val="333333"/>
          <w:sz w:val="32"/>
          <w:szCs w:val="32"/>
          <w:bdr w:val="none" w:sz="0" w:space="0" w:color="auto" w:frame="1"/>
        </w:rPr>
        <w:t>11</w:t>
      </w:r>
      <w:r w:rsidR="00DF382A" w:rsidRPr="0013481E">
        <w:rPr>
          <w:rFonts w:eastAsia="仿宋_GB2312"/>
          <w:color w:val="333333"/>
          <w:sz w:val="32"/>
          <w:szCs w:val="32"/>
          <w:bdr w:val="none" w:sz="0" w:space="0" w:color="auto" w:frame="1"/>
        </w:rPr>
        <w:t>家，占全县的</w:t>
      </w:r>
      <w:r w:rsidR="00DF382A" w:rsidRPr="0013481E">
        <w:rPr>
          <w:rFonts w:eastAsia="仿宋_GB2312"/>
          <w:color w:val="333333"/>
          <w:sz w:val="32"/>
          <w:szCs w:val="32"/>
          <w:bdr w:val="none" w:sz="0" w:space="0" w:color="auto" w:frame="1"/>
        </w:rPr>
        <w:t>31.4%</w:t>
      </w:r>
      <w:r w:rsidR="00DF382A" w:rsidRPr="0013481E">
        <w:rPr>
          <w:rFonts w:eastAsia="仿宋_GB2312"/>
          <w:color w:val="333333"/>
          <w:sz w:val="32"/>
          <w:szCs w:val="32"/>
          <w:bdr w:val="none" w:sz="0" w:space="0" w:color="auto" w:frame="1"/>
        </w:rPr>
        <w:t>，实现产值</w:t>
      </w:r>
      <w:r w:rsidR="00DF382A" w:rsidRPr="0013481E">
        <w:rPr>
          <w:rFonts w:eastAsia="仿宋_GB2312"/>
          <w:color w:val="333333"/>
          <w:sz w:val="32"/>
          <w:szCs w:val="32"/>
          <w:bdr w:val="none" w:sz="0" w:space="0" w:color="auto" w:frame="1"/>
        </w:rPr>
        <w:t>40.7</w:t>
      </w:r>
      <w:r w:rsidR="00DF382A" w:rsidRPr="0013481E">
        <w:rPr>
          <w:rFonts w:eastAsia="仿宋_GB2312"/>
          <w:color w:val="333333"/>
          <w:sz w:val="32"/>
          <w:szCs w:val="32"/>
          <w:bdr w:val="none" w:sz="0" w:space="0" w:color="auto" w:frame="1"/>
        </w:rPr>
        <w:t>亿元，占全县规上工业企业产值</w:t>
      </w:r>
      <w:r w:rsidR="00DF382A" w:rsidRPr="0013481E">
        <w:rPr>
          <w:rFonts w:eastAsia="仿宋_GB2312"/>
          <w:color w:val="333333"/>
          <w:sz w:val="32"/>
          <w:szCs w:val="32"/>
          <w:bdr w:val="none" w:sz="0" w:space="0" w:color="auto" w:frame="1"/>
        </w:rPr>
        <w:t>75.85%</w:t>
      </w:r>
      <w:r w:rsidR="00DF382A" w:rsidRPr="0013481E">
        <w:rPr>
          <w:rFonts w:eastAsia="仿宋_GB2312"/>
          <w:color w:val="333333"/>
          <w:sz w:val="32"/>
          <w:szCs w:val="32"/>
          <w:bdr w:val="none" w:sz="0" w:space="0" w:color="auto" w:frame="1"/>
        </w:rPr>
        <w:t>。</w:t>
      </w:r>
    </w:p>
    <w:p w:rsidR="00146F7C" w:rsidRPr="0013481E" w:rsidRDefault="00146F7C" w:rsidP="00554432">
      <w:pPr>
        <w:spacing w:afterLines="50" w:line="540" w:lineRule="exact"/>
        <w:ind w:left="0" w:firstLineChars="200" w:firstLine="640"/>
        <w:rPr>
          <w:rFonts w:eastAsia="仿宋_GB2312"/>
          <w:color w:val="333333"/>
          <w:sz w:val="32"/>
          <w:szCs w:val="32"/>
          <w:bdr w:val="none" w:sz="0" w:space="0" w:color="auto" w:frame="1"/>
        </w:rPr>
      </w:pPr>
      <w:r w:rsidRPr="0013481E">
        <w:rPr>
          <w:rFonts w:eastAsia="仿宋_GB2312"/>
          <w:noProof/>
          <w:color w:val="333333"/>
          <w:sz w:val="32"/>
          <w:szCs w:val="32"/>
        </w:rPr>
        <w:drawing>
          <wp:anchor distT="0" distB="0" distL="114300" distR="114300" simplePos="0" relativeHeight="251682816" behindDoc="0" locked="0" layoutInCell="1" allowOverlap="1">
            <wp:simplePos x="0" y="0"/>
            <wp:positionH relativeFrom="margin">
              <wp:posOffset>195580</wp:posOffset>
            </wp:positionH>
            <wp:positionV relativeFrom="paragraph">
              <wp:posOffset>76200</wp:posOffset>
            </wp:positionV>
            <wp:extent cx="5486400" cy="3200400"/>
            <wp:effectExtent l="19050" t="0" r="0" b="0"/>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13481E">
        <w:rPr>
          <w:rFonts w:eastAsia="仿宋_GB2312"/>
          <w:color w:val="333333"/>
          <w:sz w:val="32"/>
          <w:szCs w:val="32"/>
        </w:rPr>
        <w:t>2017</w:t>
      </w:r>
      <w:r w:rsidRPr="0013481E">
        <w:rPr>
          <w:rFonts w:eastAsia="仿宋_GB2312"/>
          <w:color w:val="333333"/>
          <w:sz w:val="32"/>
          <w:szCs w:val="32"/>
        </w:rPr>
        <w:t>年，全县民营规模以上工业</w:t>
      </w:r>
      <w:r w:rsidRPr="0013481E">
        <w:rPr>
          <w:rFonts w:eastAsia="仿宋_GB2312"/>
          <w:color w:val="333333"/>
          <w:sz w:val="32"/>
          <w:szCs w:val="32"/>
        </w:rPr>
        <w:t>30</w:t>
      </w:r>
      <w:r w:rsidRPr="0013481E">
        <w:rPr>
          <w:rFonts w:eastAsia="仿宋_GB2312"/>
          <w:color w:val="333333"/>
          <w:sz w:val="32"/>
          <w:szCs w:val="32"/>
        </w:rPr>
        <w:t>家，占全县</w:t>
      </w:r>
      <w:r w:rsidRPr="0013481E">
        <w:rPr>
          <w:rFonts w:eastAsia="仿宋_GB2312"/>
          <w:color w:val="333333"/>
          <w:sz w:val="32"/>
          <w:szCs w:val="32"/>
        </w:rPr>
        <w:t>85.7%</w:t>
      </w:r>
      <w:r w:rsidRPr="0013481E">
        <w:rPr>
          <w:rFonts w:eastAsia="仿宋_GB2312"/>
          <w:color w:val="333333"/>
          <w:sz w:val="32"/>
          <w:szCs w:val="32"/>
        </w:rPr>
        <w:t>，实现规上工业增加值</w:t>
      </w:r>
      <w:r w:rsidRPr="0013481E">
        <w:rPr>
          <w:rFonts w:eastAsia="仿宋_GB2312"/>
          <w:color w:val="333333"/>
          <w:sz w:val="32"/>
          <w:szCs w:val="32"/>
        </w:rPr>
        <w:t>108102</w:t>
      </w:r>
      <w:r w:rsidRPr="0013481E">
        <w:rPr>
          <w:rFonts w:eastAsia="仿宋_GB2312"/>
          <w:color w:val="333333"/>
          <w:sz w:val="32"/>
          <w:szCs w:val="32"/>
        </w:rPr>
        <w:t>万元，比上年增长</w:t>
      </w:r>
      <w:r w:rsidRPr="0013481E">
        <w:rPr>
          <w:rFonts w:eastAsia="仿宋_GB2312"/>
          <w:color w:val="333333"/>
          <w:sz w:val="32"/>
          <w:szCs w:val="32"/>
        </w:rPr>
        <w:t>13%</w:t>
      </w:r>
      <w:r w:rsidRPr="0013481E">
        <w:rPr>
          <w:rFonts w:eastAsia="仿宋_GB2312"/>
          <w:color w:val="333333"/>
          <w:sz w:val="32"/>
          <w:szCs w:val="32"/>
        </w:rPr>
        <w:t>，</w:t>
      </w:r>
      <w:r w:rsidR="00DB14FF" w:rsidRPr="0013481E">
        <w:rPr>
          <w:rFonts w:eastAsia="仿宋_GB2312"/>
          <w:color w:val="333333"/>
          <w:sz w:val="32"/>
          <w:szCs w:val="32"/>
        </w:rPr>
        <w:t>增幅高于全县</w:t>
      </w:r>
      <w:r w:rsidR="00DB14FF" w:rsidRPr="0013481E">
        <w:rPr>
          <w:rFonts w:eastAsia="仿宋_GB2312"/>
          <w:sz w:val="32"/>
          <w:szCs w:val="32"/>
        </w:rPr>
        <w:t>规模以上工业平均水平</w:t>
      </w:r>
      <w:r w:rsidR="00DB14FF" w:rsidRPr="0013481E">
        <w:rPr>
          <w:rFonts w:eastAsia="仿宋_GB2312"/>
          <w:sz w:val="32"/>
          <w:szCs w:val="32"/>
        </w:rPr>
        <w:t>7.8</w:t>
      </w:r>
      <w:r w:rsidR="00DB14FF" w:rsidRPr="0013481E">
        <w:rPr>
          <w:rFonts w:eastAsia="仿宋_GB2312"/>
          <w:color w:val="333333"/>
          <w:sz w:val="32"/>
          <w:szCs w:val="32"/>
        </w:rPr>
        <w:t>个百分点；民营企业实现增加值</w:t>
      </w:r>
      <w:r w:rsidRPr="0013481E">
        <w:rPr>
          <w:rFonts w:eastAsia="仿宋_GB2312"/>
          <w:color w:val="333333"/>
          <w:sz w:val="32"/>
          <w:szCs w:val="32"/>
        </w:rPr>
        <w:t>占全县规上工业增加值的</w:t>
      </w:r>
      <w:r w:rsidR="00DB14FF" w:rsidRPr="0013481E">
        <w:rPr>
          <w:rFonts w:eastAsia="仿宋_GB2312"/>
          <w:color w:val="333333"/>
          <w:sz w:val="32"/>
          <w:szCs w:val="32"/>
        </w:rPr>
        <w:t>85.1</w:t>
      </w:r>
      <w:r w:rsidRPr="0013481E">
        <w:rPr>
          <w:rFonts w:eastAsia="仿宋_GB2312"/>
          <w:color w:val="333333"/>
          <w:sz w:val="32"/>
          <w:szCs w:val="32"/>
        </w:rPr>
        <w:t>%</w:t>
      </w:r>
      <w:r w:rsidR="00DB14FF" w:rsidRPr="0013481E">
        <w:rPr>
          <w:rFonts w:eastAsia="仿宋_GB2312"/>
          <w:color w:val="333333"/>
          <w:sz w:val="32"/>
          <w:szCs w:val="32"/>
        </w:rPr>
        <w:t>，比</w:t>
      </w:r>
      <w:r w:rsidR="00DB14FF" w:rsidRPr="0013481E">
        <w:rPr>
          <w:rFonts w:eastAsia="仿宋_GB2312"/>
          <w:color w:val="333333"/>
          <w:sz w:val="32"/>
          <w:szCs w:val="32"/>
        </w:rPr>
        <w:t>2012</w:t>
      </w:r>
      <w:r w:rsidR="00DB14FF" w:rsidRPr="0013481E">
        <w:rPr>
          <w:rFonts w:eastAsia="仿宋_GB2312"/>
          <w:color w:val="333333"/>
          <w:sz w:val="32"/>
          <w:szCs w:val="32"/>
        </w:rPr>
        <w:t>年提高</w:t>
      </w:r>
      <w:r w:rsidR="00252B47" w:rsidRPr="0013481E">
        <w:rPr>
          <w:rFonts w:eastAsia="仿宋_GB2312"/>
          <w:color w:val="333333"/>
          <w:sz w:val="32"/>
          <w:szCs w:val="32"/>
        </w:rPr>
        <w:t>20.3</w:t>
      </w:r>
      <w:r w:rsidR="00252B47" w:rsidRPr="0013481E">
        <w:rPr>
          <w:rFonts w:eastAsia="仿宋_GB2312"/>
          <w:color w:val="333333"/>
          <w:sz w:val="32"/>
          <w:szCs w:val="32"/>
        </w:rPr>
        <w:t>个百分点</w:t>
      </w:r>
      <w:r w:rsidRPr="0013481E">
        <w:rPr>
          <w:rFonts w:eastAsia="仿宋_GB2312"/>
          <w:color w:val="333333"/>
          <w:sz w:val="32"/>
          <w:szCs w:val="32"/>
        </w:rPr>
        <w:t>。</w:t>
      </w:r>
    </w:p>
    <w:p w:rsidR="008C108C" w:rsidRPr="0013481E" w:rsidRDefault="00B528D5" w:rsidP="00554432">
      <w:pPr>
        <w:spacing w:afterLines="50" w:line="540" w:lineRule="exact"/>
        <w:ind w:left="0" w:firstLineChars="200" w:firstLine="640"/>
        <w:rPr>
          <w:rFonts w:eastAsia="仿宋_GB2312"/>
          <w:color w:val="333333"/>
          <w:sz w:val="32"/>
          <w:szCs w:val="32"/>
          <w:bdr w:val="none" w:sz="0" w:space="0" w:color="auto" w:frame="1"/>
        </w:rPr>
      </w:pPr>
      <w:r w:rsidRPr="0013481E">
        <w:rPr>
          <w:rFonts w:eastAsia="仿宋_GB2312"/>
          <w:color w:val="333333"/>
          <w:sz w:val="32"/>
          <w:szCs w:val="32"/>
          <w:bdr w:val="none" w:sz="0" w:space="0" w:color="auto" w:frame="1"/>
        </w:rPr>
        <w:lastRenderedPageBreak/>
        <w:t>“</w:t>
      </w:r>
      <w:r w:rsidR="008C108C" w:rsidRPr="0013481E">
        <w:rPr>
          <w:rFonts w:eastAsia="仿宋_GB2312"/>
          <w:color w:val="333333"/>
          <w:sz w:val="32"/>
          <w:szCs w:val="32"/>
          <w:bdr w:val="none" w:sz="0" w:space="0" w:color="auto" w:frame="1"/>
        </w:rPr>
        <w:t>十八大</w:t>
      </w:r>
      <w:r w:rsidRPr="0013481E">
        <w:rPr>
          <w:rFonts w:eastAsia="仿宋_GB2312"/>
          <w:color w:val="333333"/>
          <w:sz w:val="32"/>
          <w:szCs w:val="32"/>
          <w:bdr w:val="none" w:sz="0" w:space="0" w:color="auto" w:frame="1"/>
        </w:rPr>
        <w:t>”</w:t>
      </w:r>
      <w:r w:rsidR="008C108C" w:rsidRPr="0013481E">
        <w:rPr>
          <w:rFonts w:eastAsia="仿宋_GB2312"/>
          <w:color w:val="333333"/>
          <w:sz w:val="32"/>
          <w:szCs w:val="32"/>
          <w:bdr w:val="none" w:sz="0" w:space="0" w:color="auto" w:frame="1"/>
        </w:rPr>
        <w:t>以来，</w:t>
      </w:r>
      <w:r w:rsidR="009D3639" w:rsidRPr="0013481E">
        <w:rPr>
          <w:rFonts w:eastAsia="仿宋_GB2312"/>
          <w:color w:val="333333"/>
          <w:sz w:val="32"/>
          <w:szCs w:val="32"/>
          <w:bdr w:val="none" w:sz="0" w:space="0" w:color="auto" w:frame="1"/>
        </w:rPr>
        <w:t>全</w:t>
      </w:r>
      <w:r w:rsidR="008C108C" w:rsidRPr="0013481E">
        <w:rPr>
          <w:rFonts w:eastAsia="仿宋_GB2312"/>
          <w:color w:val="333333"/>
          <w:sz w:val="32"/>
          <w:szCs w:val="32"/>
          <w:bdr w:val="none" w:sz="0" w:space="0" w:color="auto" w:frame="1"/>
        </w:rPr>
        <w:t>县工业企业</w:t>
      </w:r>
      <w:r w:rsidR="00252B47" w:rsidRPr="0013481E">
        <w:rPr>
          <w:rFonts w:eastAsia="仿宋_GB2312"/>
          <w:color w:val="333333"/>
          <w:sz w:val="32"/>
          <w:szCs w:val="32"/>
          <w:bdr w:val="none" w:sz="0" w:space="0" w:color="auto" w:frame="1"/>
        </w:rPr>
        <w:t>坚持高质量发展为宗旨，以建设</w:t>
      </w:r>
      <w:r w:rsidR="00252B47" w:rsidRPr="0013481E">
        <w:rPr>
          <w:rFonts w:eastAsia="仿宋_GB2312"/>
          <w:color w:val="333333"/>
          <w:sz w:val="32"/>
          <w:szCs w:val="32"/>
          <w:bdr w:val="none" w:sz="0" w:space="0" w:color="auto" w:frame="1"/>
        </w:rPr>
        <w:t>“</w:t>
      </w:r>
      <w:r w:rsidR="00252B47" w:rsidRPr="0013481E">
        <w:rPr>
          <w:rFonts w:eastAsia="仿宋_GB2312"/>
          <w:color w:val="333333"/>
          <w:sz w:val="32"/>
          <w:szCs w:val="32"/>
          <w:bdr w:val="none" w:sz="0" w:space="0" w:color="auto" w:frame="1"/>
        </w:rPr>
        <w:t>世界寿乡</w:t>
      </w:r>
      <w:r w:rsidR="00252B47" w:rsidRPr="0013481E">
        <w:rPr>
          <w:rFonts w:eastAsia="仿宋_GB2312"/>
          <w:color w:val="333333"/>
          <w:sz w:val="32"/>
          <w:szCs w:val="32"/>
          <w:bdr w:val="none" w:sz="0" w:space="0" w:color="auto" w:frame="1"/>
        </w:rPr>
        <w:t>·</w:t>
      </w:r>
      <w:r w:rsidR="00252B47" w:rsidRPr="0013481E">
        <w:rPr>
          <w:rFonts w:eastAsia="仿宋_GB2312"/>
          <w:color w:val="333333"/>
          <w:sz w:val="32"/>
          <w:szCs w:val="32"/>
          <w:bdr w:val="none" w:sz="0" w:space="0" w:color="auto" w:frame="1"/>
        </w:rPr>
        <w:t>富美蕉岭</w:t>
      </w:r>
      <w:r w:rsidR="00252B47" w:rsidRPr="0013481E">
        <w:rPr>
          <w:rFonts w:eastAsia="仿宋_GB2312"/>
          <w:color w:val="333333"/>
          <w:sz w:val="32"/>
          <w:szCs w:val="32"/>
          <w:bdr w:val="none" w:sz="0" w:space="0" w:color="auto" w:frame="1"/>
        </w:rPr>
        <w:t>”</w:t>
      </w:r>
      <w:r w:rsidR="00252B47" w:rsidRPr="0013481E">
        <w:rPr>
          <w:rFonts w:eastAsia="仿宋_GB2312"/>
          <w:color w:val="333333"/>
          <w:sz w:val="32"/>
          <w:szCs w:val="32"/>
          <w:bdr w:val="none" w:sz="0" w:space="0" w:color="auto" w:frame="1"/>
        </w:rPr>
        <w:t>为目</w:t>
      </w:r>
      <w:r w:rsidR="00252B47" w:rsidRPr="0013481E">
        <w:rPr>
          <w:rFonts w:eastAsia="仿宋_GB2312"/>
          <w:sz w:val="32"/>
          <w:szCs w:val="32"/>
        </w:rPr>
        <w:t>标，</w:t>
      </w:r>
      <w:r w:rsidR="00252B47" w:rsidRPr="0013481E">
        <w:rPr>
          <w:rFonts w:eastAsia="仿宋_GB2312"/>
          <w:color w:val="333333"/>
          <w:sz w:val="32"/>
          <w:szCs w:val="32"/>
          <w:bdr w:val="none" w:sz="0" w:space="0" w:color="auto" w:frame="1"/>
        </w:rPr>
        <w:t>以努力打造</w:t>
      </w:r>
      <w:r w:rsidR="00252B47" w:rsidRPr="0013481E">
        <w:rPr>
          <w:rFonts w:eastAsia="仿宋_GB2312"/>
          <w:color w:val="333333"/>
          <w:sz w:val="32"/>
          <w:szCs w:val="32"/>
          <w:bdr w:val="none" w:sz="0" w:space="0" w:color="auto" w:frame="1"/>
        </w:rPr>
        <w:t>“</w:t>
      </w:r>
      <w:r w:rsidR="00252B47" w:rsidRPr="0013481E">
        <w:rPr>
          <w:rFonts w:eastAsia="仿宋_GB2312"/>
          <w:color w:val="333333"/>
          <w:sz w:val="32"/>
          <w:szCs w:val="32"/>
          <w:bdr w:val="none" w:sz="0" w:space="0" w:color="auto" w:frame="1"/>
        </w:rPr>
        <w:t>双百亿</w:t>
      </w:r>
      <w:r w:rsidR="00252B47" w:rsidRPr="0013481E">
        <w:rPr>
          <w:rFonts w:eastAsia="仿宋_GB2312"/>
          <w:color w:val="333333"/>
          <w:sz w:val="32"/>
          <w:szCs w:val="32"/>
          <w:bdr w:val="none" w:sz="0" w:space="0" w:color="auto" w:frame="1"/>
        </w:rPr>
        <w:t>”</w:t>
      </w:r>
      <w:r w:rsidR="00252B47" w:rsidRPr="0013481E">
        <w:rPr>
          <w:rFonts w:eastAsia="仿宋_GB2312"/>
          <w:color w:val="333333"/>
          <w:sz w:val="32"/>
          <w:szCs w:val="32"/>
          <w:bdr w:val="none" w:sz="0" w:space="0" w:color="auto" w:frame="1"/>
        </w:rPr>
        <w:t>支柱产业为行动指南，</w:t>
      </w:r>
      <w:r w:rsidR="008C108C" w:rsidRPr="0013481E">
        <w:rPr>
          <w:rFonts w:eastAsia="仿宋_GB2312"/>
          <w:color w:val="333333"/>
          <w:sz w:val="32"/>
          <w:szCs w:val="32"/>
          <w:bdr w:val="none" w:sz="0" w:space="0" w:color="auto" w:frame="1"/>
        </w:rPr>
        <w:t>勇于创新，</w:t>
      </w:r>
      <w:r w:rsidR="009D3639" w:rsidRPr="0013481E">
        <w:rPr>
          <w:rFonts w:eastAsia="仿宋_GB2312"/>
          <w:color w:val="333333"/>
          <w:sz w:val="32"/>
          <w:szCs w:val="32"/>
          <w:bdr w:val="none" w:sz="0" w:space="0" w:color="auto" w:frame="1"/>
        </w:rPr>
        <w:t>敢于</w:t>
      </w:r>
      <w:r w:rsidR="008C108C" w:rsidRPr="0013481E">
        <w:rPr>
          <w:rFonts w:eastAsia="仿宋_GB2312"/>
          <w:color w:val="333333"/>
          <w:sz w:val="32"/>
          <w:szCs w:val="32"/>
          <w:bdr w:val="none" w:sz="0" w:space="0" w:color="auto" w:frame="1"/>
        </w:rPr>
        <w:t>淘汰落后产能，主动关停大批高投入、高消耗、高污染企业，对一大批落后生产技术进行改造升级，累计淘汰高耗能、高污染产能的电解锰</w:t>
      </w:r>
      <w:r w:rsidR="008C108C" w:rsidRPr="0013481E">
        <w:rPr>
          <w:rFonts w:eastAsia="仿宋_GB2312"/>
          <w:color w:val="333333"/>
          <w:sz w:val="32"/>
          <w:szCs w:val="32"/>
          <w:bdr w:val="none" w:sz="0" w:space="0" w:color="auto" w:frame="1"/>
        </w:rPr>
        <w:t>3100</w:t>
      </w:r>
      <w:r w:rsidR="008C108C" w:rsidRPr="0013481E">
        <w:rPr>
          <w:rFonts w:eastAsia="仿宋_GB2312"/>
          <w:color w:val="333333"/>
          <w:sz w:val="32"/>
          <w:szCs w:val="32"/>
          <w:bdr w:val="none" w:sz="0" w:space="0" w:color="auto" w:frame="1"/>
        </w:rPr>
        <w:t>吨、水泥</w:t>
      </w:r>
      <w:r w:rsidR="008C108C" w:rsidRPr="0013481E">
        <w:rPr>
          <w:rFonts w:eastAsia="仿宋_GB2312"/>
          <w:color w:val="333333"/>
          <w:sz w:val="32"/>
          <w:szCs w:val="32"/>
          <w:bdr w:val="none" w:sz="0" w:space="0" w:color="auto" w:frame="1"/>
        </w:rPr>
        <w:t>262</w:t>
      </w:r>
      <w:r w:rsidR="008C108C" w:rsidRPr="0013481E">
        <w:rPr>
          <w:rFonts w:eastAsia="仿宋_GB2312"/>
          <w:color w:val="333333"/>
          <w:sz w:val="32"/>
          <w:szCs w:val="32"/>
          <w:bdr w:val="none" w:sz="0" w:space="0" w:color="auto" w:frame="1"/>
        </w:rPr>
        <w:t>万吨、水泥熟料</w:t>
      </w:r>
      <w:r w:rsidR="008C108C" w:rsidRPr="0013481E">
        <w:rPr>
          <w:rFonts w:eastAsia="仿宋_GB2312"/>
          <w:color w:val="333333"/>
          <w:sz w:val="32"/>
          <w:szCs w:val="32"/>
          <w:bdr w:val="none" w:sz="0" w:space="0" w:color="auto" w:frame="1"/>
        </w:rPr>
        <w:t>235</w:t>
      </w:r>
      <w:r w:rsidR="008C108C" w:rsidRPr="0013481E">
        <w:rPr>
          <w:rFonts w:eastAsia="仿宋_GB2312"/>
          <w:color w:val="333333"/>
          <w:sz w:val="32"/>
          <w:szCs w:val="32"/>
          <w:bdr w:val="none" w:sz="0" w:space="0" w:color="auto" w:frame="1"/>
        </w:rPr>
        <w:t>万吨。</w:t>
      </w:r>
    </w:p>
    <w:p w:rsidR="00FA3E3F" w:rsidRPr="0013481E" w:rsidRDefault="009D3639" w:rsidP="00554432">
      <w:pPr>
        <w:spacing w:afterLines="50" w:line="540" w:lineRule="exact"/>
        <w:ind w:left="0" w:firstLineChars="200" w:firstLine="640"/>
        <w:rPr>
          <w:rFonts w:eastAsia="仿宋_GB2312"/>
          <w:color w:val="333333"/>
          <w:sz w:val="32"/>
          <w:szCs w:val="32"/>
          <w:bdr w:val="none" w:sz="0" w:space="0" w:color="auto" w:frame="1"/>
        </w:rPr>
      </w:pPr>
      <w:r w:rsidRPr="0013481E">
        <w:rPr>
          <w:rFonts w:eastAsia="仿宋_GB2312"/>
          <w:color w:val="333333"/>
          <w:sz w:val="32"/>
          <w:szCs w:val="32"/>
          <w:bdr w:val="none" w:sz="0" w:space="0" w:color="auto" w:frame="1"/>
        </w:rPr>
        <w:t>2017</w:t>
      </w:r>
      <w:r w:rsidRPr="0013481E">
        <w:rPr>
          <w:rFonts w:eastAsia="仿宋_GB2312"/>
          <w:color w:val="333333"/>
          <w:sz w:val="32"/>
          <w:szCs w:val="32"/>
          <w:bdr w:val="none" w:sz="0" w:space="0" w:color="auto" w:frame="1"/>
        </w:rPr>
        <w:t>年，</w:t>
      </w:r>
      <w:r w:rsidR="00AC3E6C" w:rsidRPr="0013481E">
        <w:rPr>
          <w:rFonts w:eastAsia="仿宋_GB2312"/>
          <w:color w:val="333333"/>
          <w:sz w:val="32"/>
          <w:szCs w:val="32"/>
          <w:bdr w:val="none" w:sz="0" w:space="0" w:color="auto" w:frame="1"/>
        </w:rPr>
        <w:t>全县资质以上建筑企业</w:t>
      </w:r>
      <w:r w:rsidR="00AC3E6C" w:rsidRPr="0013481E">
        <w:rPr>
          <w:rFonts w:eastAsia="仿宋_GB2312"/>
          <w:color w:val="333333"/>
          <w:sz w:val="32"/>
          <w:szCs w:val="32"/>
          <w:bdr w:val="none" w:sz="0" w:space="0" w:color="auto" w:frame="1"/>
        </w:rPr>
        <w:t>8</w:t>
      </w:r>
      <w:r w:rsidR="00AC3E6C" w:rsidRPr="0013481E">
        <w:rPr>
          <w:rFonts w:eastAsia="仿宋_GB2312"/>
          <w:color w:val="333333"/>
          <w:sz w:val="32"/>
          <w:szCs w:val="32"/>
          <w:bdr w:val="none" w:sz="0" w:space="0" w:color="auto" w:frame="1"/>
        </w:rPr>
        <w:t>家</w:t>
      </w:r>
      <w:r w:rsidR="00FA3E3F" w:rsidRPr="0013481E">
        <w:rPr>
          <w:rFonts w:eastAsia="仿宋_GB2312"/>
          <w:color w:val="333333"/>
          <w:sz w:val="32"/>
          <w:szCs w:val="32"/>
          <w:bdr w:val="none" w:sz="0" w:space="0" w:color="auto" w:frame="1"/>
        </w:rPr>
        <w:t>完成建筑业增加值</w:t>
      </w:r>
      <w:r w:rsidR="00AC3E6C" w:rsidRPr="0013481E">
        <w:rPr>
          <w:rFonts w:eastAsia="仿宋_GB2312"/>
          <w:color w:val="333333"/>
          <w:sz w:val="32"/>
          <w:szCs w:val="32"/>
          <w:bdr w:val="none" w:sz="0" w:space="0" w:color="auto" w:frame="1"/>
        </w:rPr>
        <w:t>33644</w:t>
      </w:r>
      <w:r w:rsidR="00FA3E3F" w:rsidRPr="0013481E">
        <w:rPr>
          <w:rFonts w:eastAsia="仿宋_GB2312"/>
          <w:color w:val="333333"/>
          <w:sz w:val="32"/>
          <w:szCs w:val="32"/>
          <w:bdr w:val="none" w:sz="0" w:space="0" w:color="auto" w:frame="1"/>
        </w:rPr>
        <w:t>万元，比上年增长</w:t>
      </w:r>
      <w:r w:rsidR="00AC3E6C" w:rsidRPr="0013481E">
        <w:rPr>
          <w:rFonts w:eastAsia="仿宋_GB2312"/>
          <w:color w:val="333333"/>
          <w:sz w:val="32"/>
          <w:szCs w:val="32"/>
          <w:bdr w:val="none" w:sz="0" w:space="0" w:color="auto" w:frame="1"/>
        </w:rPr>
        <w:t>21</w:t>
      </w:r>
      <w:r w:rsidR="00FA3E3F" w:rsidRPr="0013481E">
        <w:rPr>
          <w:rFonts w:eastAsia="仿宋_GB2312"/>
          <w:color w:val="333333"/>
          <w:sz w:val="32"/>
          <w:szCs w:val="32"/>
          <w:bdr w:val="none" w:sz="0" w:space="0" w:color="auto" w:frame="1"/>
        </w:rPr>
        <w:t>%</w:t>
      </w:r>
      <w:r w:rsidR="00AC3E6C" w:rsidRPr="0013481E">
        <w:rPr>
          <w:rFonts w:eastAsia="仿宋_GB2312"/>
          <w:color w:val="333333"/>
          <w:sz w:val="32"/>
          <w:szCs w:val="32"/>
          <w:bdr w:val="none" w:sz="0" w:space="0" w:color="auto" w:frame="1"/>
        </w:rPr>
        <w:t>；</w:t>
      </w:r>
      <w:r w:rsidR="00FA3E3F" w:rsidRPr="0013481E">
        <w:rPr>
          <w:rFonts w:eastAsia="仿宋_GB2312"/>
          <w:color w:val="333333"/>
          <w:sz w:val="32"/>
          <w:szCs w:val="32"/>
          <w:bdr w:val="none" w:sz="0" w:space="0" w:color="auto" w:frame="1"/>
        </w:rPr>
        <w:t>实现</w:t>
      </w:r>
      <w:r w:rsidR="00AC3E6C" w:rsidRPr="0013481E">
        <w:rPr>
          <w:rFonts w:eastAsia="仿宋_GB2312"/>
          <w:color w:val="333333"/>
          <w:sz w:val="32"/>
          <w:szCs w:val="32"/>
          <w:bdr w:val="none" w:sz="0" w:space="0" w:color="auto" w:frame="1"/>
        </w:rPr>
        <w:t>建筑业</w:t>
      </w:r>
      <w:r w:rsidR="00FA3E3F" w:rsidRPr="0013481E">
        <w:rPr>
          <w:rFonts w:eastAsia="仿宋_GB2312"/>
          <w:color w:val="333333"/>
          <w:sz w:val="32"/>
          <w:szCs w:val="32"/>
          <w:bdr w:val="none" w:sz="0" w:space="0" w:color="auto" w:frame="1"/>
        </w:rPr>
        <w:t>总产值</w:t>
      </w:r>
      <w:r w:rsidR="00AC3E6C" w:rsidRPr="0013481E">
        <w:rPr>
          <w:rFonts w:eastAsia="仿宋_GB2312"/>
          <w:color w:val="333333"/>
          <w:sz w:val="32"/>
          <w:szCs w:val="32"/>
          <w:bdr w:val="none" w:sz="0" w:space="0" w:color="auto" w:frame="1"/>
        </w:rPr>
        <w:t>170452.8</w:t>
      </w:r>
      <w:r w:rsidR="00FA3E3F" w:rsidRPr="0013481E">
        <w:rPr>
          <w:rFonts w:eastAsia="仿宋_GB2312"/>
          <w:color w:val="333333"/>
          <w:sz w:val="32"/>
          <w:szCs w:val="32"/>
          <w:bdr w:val="none" w:sz="0" w:space="0" w:color="auto" w:frame="1"/>
        </w:rPr>
        <w:t>万元，</w:t>
      </w:r>
      <w:r w:rsidR="005B796D" w:rsidRPr="0013481E">
        <w:rPr>
          <w:rFonts w:eastAsia="仿宋_GB2312"/>
          <w:color w:val="333333"/>
          <w:sz w:val="32"/>
          <w:szCs w:val="32"/>
          <w:bdr w:val="none" w:sz="0" w:space="0" w:color="auto" w:frame="1"/>
        </w:rPr>
        <w:t>同</w:t>
      </w:r>
      <w:r w:rsidR="00FA3E3F" w:rsidRPr="0013481E">
        <w:rPr>
          <w:rFonts w:eastAsia="仿宋_GB2312"/>
          <w:color w:val="333333"/>
          <w:sz w:val="32"/>
          <w:szCs w:val="32"/>
          <w:bdr w:val="none" w:sz="0" w:space="0" w:color="auto" w:frame="1"/>
        </w:rPr>
        <w:t>比</w:t>
      </w:r>
      <w:r w:rsidR="00AC3E6C" w:rsidRPr="0013481E">
        <w:rPr>
          <w:rFonts w:eastAsia="仿宋_GB2312"/>
          <w:color w:val="333333"/>
          <w:sz w:val="32"/>
          <w:szCs w:val="32"/>
          <w:bdr w:val="none" w:sz="0" w:space="0" w:color="auto" w:frame="1"/>
        </w:rPr>
        <w:t>增长</w:t>
      </w:r>
      <w:r w:rsidR="00AC3E6C" w:rsidRPr="0013481E">
        <w:rPr>
          <w:rFonts w:eastAsia="仿宋_GB2312"/>
          <w:color w:val="333333"/>
          <w:sz w:val="32"/>
          <w:szCs w:val="32"/>
          <w:bdr w:val="none" w:sz="0" w:space="0" w:color="auto" w:frame="1"/>
        </w:rPr>
        <w:t>100.3</w:t>
      </w:r>
      <w:r w:rsidR="00FA3E3F" w:rsidRPr="0013481E">
        <w:rPr>
          <w:rFonts w:eastAsia="仿宋_GB2312"/>
          <w:color w:val="333333"/>
          <w:sz w:val="32"/>
          <w:szCs w:val="32"/>
          <w:bdr w:val="none" w:sz="0" w:space="0" w:color="auto" w:frame="1"/>
        </w:rPr>
        <w:t>%</w:t>
      </w:r>
      <w:r w:rsidR="00FA3E3F" w:rsidRPr="0013481E">
        <w:rPr>
          <w:rFonts w:eastAsia="仿宋_GB2312"/>
          <w:color w:val="333333"/>
          <w:sz w:val="32"/>
          <w:szCs w:val="32"/>
          <w:bdr w:val="none" w:sz="0" w:space="0" w:color="auto" w:frame="1"/>
        </w:rPr>
        <w:t>；实现利润</w:t>
      </w:r>
      <w:r w:rsidR="00AC3E6C" w:rsidRPr="0013481E">
        <w:rPr>
          <w:rFonts w:eastAsia="仿宋_GB2312"/>
          <w:color w:val="333333"/>
          <w:sz w:val="32"/>
          <w:szCs w:val="32"/>
          <w:bdr w:val="none" w:sz="0" w:space="0" w:color="auto" w:frame="1"/>
        </w:rPr>
        <w:t>总额</w:t>
      </w:r>
      <w:r w:rsidR="00AC3E6C" w:rsidRPr="0013481E">
        <w:rPr>
          <w:rFonts w:eastAsia="仿宋_GB2312"/>
          <w:color w:val="333333"/>
          <w:sz w:val="32"/>
          <w:szCs w:val="32"/>
          <w:bdr w:val="none" w:sz="0" w:space="0" w:color="auto" w:frame="1"/>
        </w:rPr>
        <w:t>2963.4</w:t>
      </w:r>
      <w:r w:rsidR="00A267F1" w:rsidRPr="0013481E">
        <w:rPr>
          <w:rFonts w:eastAsia="仿宋_GB2312"/>
          <w:color w:val="333333"/>
          <w:sz w:val="32"/>
          <w:szCs w:val="32"/>
          <w:bdr w:val="none" w:sz="0" w:space="0" w:color="auto" w:frame="1"/>
        </w:rPr>
        <w:t>万元，</w:t>
      </w:r>
      <w:r w:rsidR="00AC3E6C" w:rsidRPr="0013481E">
        <w:rPr>
          <w:rFonts w:eastAsia="仿宋_GB2312"/>
          <w:color w:val="333333"/>
          <w:sz w:val="32"/>
          <w:szCs w:val="32"/>
          <w:bdr w:val="none" w:sz="0" w:space="0" w:color="auto" w:frame="1"/>
        </w:rPr>
        <w:t>同比增长</w:t>
      </w:r>
      <w:r w:rsidR="00AC3E6C" w:rsidRPr="0013481E">
        <w:rPr>
          <w:rFonts w:eastAsia="仿宋_GB2312"/>
          <w:color w:val="333333"/>
          <w:sz w:val="32"/>
          <w:szCs w:val="32"/>
          <w:bdr w:val="none" w:sz="0" w:space="0" w:color="auto" w:frame="1"/>
        </w:rPr>
        <w:t>63.5%</w:t>
      </w:r>
      <w:r w:rsidR="00AC3E6C" w:rsidRPr="0013481E">
        <w:rPr>
          <w:rFonts w:eastAsia="仿宋_GB2312"/>
          <w:color w:val="333333"/>
          <w:sz w:val="32"/>
          <w:szCs w:val="32"/>
          <w:bdr w:val="none" w:sz="0" w:space="0" w:color="auto" w:frame="1"/>
        </w:rPr>
        <w:t>；</w:t>
      </w:r>
      <w:r w:rsidR="00FA3E3F" w:rsidRPr="0013481E">
        <w:rPr>
          <w:rFonts w:eastAsia="仿宋_GB2312"/>
          <w:color w:val="333333"/>
          <w:sz w:val="32"/>
          <w:szCs w:val="32"/>
          <w:bdr w:val="none" w:sz="0" w:space="0" w:color="auto" w:frame="1"/>
        </w:rPr>
        <w:t>实现税金</w:t>
      </w:r>
      <w:r w:rsidR="00AC3E6C" w:rsidRPr="0013481E">
        <w:rPr>
          <w:rFonts w:eastAsia="仿宋_GB2312"/>
          <w:color w:val="333333"/>
          <w:sz w:val="32"/>
          <w:szCs w:val="32"/>
          <w:bdr w:val="none" w:sz="0" w:space="0" w:color="auto" w:frame="1"/>
        </w:rPr>
        <w:t>3915.6</w:t>
      </w:r>
      <w:r w:rsidR="00FA3E3F" w:rsidRPr="0013481E">
        <w:rPr>
          <w:rFonts w:eastAsia="仿宋_GB2312"/>
          <w:color w:val="333333"/>
          <w:sz w:val="32"/>
          <w:szCs w:val="32"/>
          <w:bdr w:val="none" w:sz="0" w:space="0" w:color="auto" w:frame="1"/>
        </w:rPr>
        <w:t>万元。</w:t>
      </w:r>
      <w:r w:rsidRPr="0013481E">
        <w:rPr>
          <w:rFonts w:eastAsia="仿宋_GB2312"/>
          <w:color w:val="333333"/>
          <w:sz w:val="32"/>
          <w:szCs w:val="32"/>
          <w:bdr w:val="none" w:sz="0" w:space="0" w:color="auto" w:frame="1"/>
        </w:rPr>
        <w:t>2017</w:t>
      </w:r>
      <w:r w:rsidRPr="0013481E">
        <w:rPr>
          <w:rFonts w:eastAsia="仿宋_GB2312"/>
          <w:color w:val="333333"/>
          <w:sz w:val="32"/>
          <w:szCs w:val="32"/>
          <w:bdr w:val="none" w:sz="0" w:space="0" w:color="auto" w:frame="1"/>
        </w:rPr>
        <w:t>年</w:t>
      </w:r>
      <w:r w:rsidR="00424BC4" w:rsidRPr="0013481E">
        <w:rPr>
          <w:rFonts w:eastAsia="仿宋_GB2312"/>
          <w:color w:val="333333"/>
          <w:sz w:val="32"/>
          <w:szCs w:val="32"/>
          <w:bdr w:val="none" w:sz="0" w:space="0" w:color="auto" w:frame="1"/>
        </w:rPr>
        <w:t>广东蕉岭</w:t>
      </w:r>
      <w:r w:rsidRPr="0013481E">
        <w:rPr>
          <w:rFonts w:eastAsia="仿宋_GB2312"/>
          <w:color w:val="333333"/>
          <w:sz w:val="32"/>
          <w:szCs w:val="32"/>
          <w:bdr w:val="none" w:sz="0" w:space="0" w:color="auto" w:frame="1"/>
        </w:rPr>
        <w:t>建筑工程</w:t>
      </w:r>
      <w:r w:rsidR="00424BC4" w:rsidRPr="0013481E">
        <w:rPr>
          <w:rFonts w:eastAsia="仿宋_GB2312"/>
          <w:color w:val="333333"/>
          <w:sz w:val="32"/>
          <w:szCs w:val="32"/>
          <w:bdr w:val="none" w:sz="0" w:space="0" w:color="auto" w:frame="1"/>
        </w:rPr>
        <w:t>集团</w:t>
      </w:r>
      <w:r w:rsidRPr="0013481E">
        <w:rPr>
          <w:rFonts w:eastAsia="仿宋_GB2312"/>
          <w:color w:val="333333"/>
          <w:sz w:val="32"/>
          <w:szCs w:val="32"/>
          <w:bdr w:val="none" w:sz="0" w:space="0" w:color="auto" w:frame="1"/>
        </w:rPr>
        <w:t>有限公司建筑业资质</w:t>
      </w:r>
      <w:r w:rsidR="00424BC4" w:rsidRPr="0013481E">
        <w:rPr>
          <w:rFonts w:eastAsia="仿宋_GB2312"/>
          <w:color w:val="333333"/>
          <w:sz w:val="32"/>
          <w:szCs w:val="32"/>
          <w:bdr w:val="none" w:sz="0" w:space="0" w:color="auto" w:frame="1"/>
        </w:rPr>
        <w:t>胜利</w:t>
      </w:r>
      <w:r w:rsidRPr="0013481E">
        <w:rPr>
          <w:rFonts w:eastAsia="仿宋_GB2312"/>
          <w:color w:val="333333"/>
          <w:sz w:val="32"/>
          <w:szCs w:val="32"/>
          <w:bdr w:val="none" w:sz="0" w:space="0" w:color="auto" w:frame="1"/>
        </w:rPr>
        <w:t>通过住建部的审批升级为一级资质，打破全县无一级建筑业资质的情况，为全县经济的高质量发展新添一份动力。</w:t>
      </w:r>
    </w:p>
    <w:p w:rsidR="0081171F" w:rsidRPr="0013481E" w:rsidRDefault="00355D5D" w:rsidP="00554432">
      <w:pPr>
        <w:spacing w:afterLines="50" w:line="540" w:lineRule="exact"/>
        <w:ind w:left="0" w:firstLineChars="200" w:firstLine="640"/>
        <w:rPr>
          <w:rFonts w:eastAsia="黑体"/>
          <w:sz w:val="32"/>
          <w:szCs w:val="32"/>
        </w:rPr>
      </w:pPr>
      <w:r w:rsidRPr="0013481E">
        <w:rPr>
          <w:rFonts w:eastAsia="黑体" w:hAnsi="黑体"/>
          <w:sz w:val="32"/>
          <w:szCs w:val="32"/>
        </w:rPr>
        <w:t>四、</w:t>
      </w:r>
      <w:r w:rsidR="00FA3E3F" w:rsidRPr="0013481E">
        <w:rPr>
          <w:rFonts w:eastAsia="黑体" w:hAnsi="黑体"/>
          <w:sz w:val="32"/>
          <w:szCs w:val="32"/>
        </w:rPr>
        <w:t>固定资产投资</w:t>
      </w:r>
    </w:p>
    <w:p w:rsidR="0087051E" w:rsidRPr="0013481E" w:rsidRDefault="007E3580" w:rsidP="00554432">
      <w:pPr>
        <w:spacing w:afterLines="50" w:line="540" w:lineRule="exact"/>
        <w:ind w:left="0" w:firstLineChars="200" w:firstLine="640"/>
        <w:rPr>
          <w:rFonts w:eastAsia="仿宋_GB2312"/>
          <w:sz w:val="32"/>
          <w:szCs w:val="32"/>
        </w:rPr>
      </w:pPr>
      <w:r w:rsidRPr="0013481E">
        <w:rPr>
          <w:rFonts w:eastAsia="仿宋_GB2312"/>
          <w:noProof/>
          <w:sz w:val="32"/>
          <w:szCs w:val="32"/>
        </w:rPr>
        <w:drawing>
          <wp:anchor distT="0" distB="0" distL="114300" distR="114300" simplePos="0" relativeHeight="251670528" behindDoc="0" locked="0" layoutInCell="1" allowOverlap="1">
            <wp:simplePos x="0" y="0"/>
            <wp:positionH relativeFrom="column">
              <wp:posOffset>-23495</wp:posOffset>
            </wp:positionH>
            <wp:positionV relativeFrom="paragraph">
              <wp:posOffset>152400</wp:posOffset>
            </wp:positionV>
            <wp:extent cx="5924550" cy="2952750"/>
            <wp:effectExtent l="0" t="0" r="0" b="0"/>
            <wp:wrapTopAndBottom/>
            <wp:docPr id="1"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252B47" w:rsidRPr="0013481E">
        <w:rPr>
          <w:rFonts w:eastAsia="仿宋_GB2312"/>
          <w:sz w:val="32"/>
          <w:szCs w:val="32"/>
        </w:rPr>
        <w:t>2017</w:t>
      </w:r>
      <w:r w:rsidR="00252B47" w:rsidRPr="0013481E">
        <w:rPr>
          <w:rFonts w:eastAsia="仿宋_GB2312"/>
          <w:sz w:val="32"/>
          <w:szCs w:val="32"/>
        </w:rPr>
        <w:t>年，全县</w:t>
      </w:r>
      <w:r w:rsidR="00FA3E3F" w:rsidRPr="0013481E">
        <w:rPr>
          <w:rFonts w:eastAsia="仿宋_GB2312"/>
          <w:sz w:val="32"/>
          <w:szCs w:val="32"/>
        </w:rPr>
        <w:t>完成固定资产投资（投资额</w:t>
      </w:r>
      <w:r w:rsidR="00FA3E3F" w:rsidRPr="0013481E">
        <w:rPr>
          <w:rFonts w:eastAsia="仿宋_GB2312"/>
          <w:sz w:val="32"/>
          <w:szCs w:val="32"/>
        </w:rPr>
        <w:t>500</w:t>
      </w:r>
      <w:r w:rsidR="00FA3E3F" w:rsidRPr="0013481E">
        <w:rPr>
          <w:rFonts w:eastAsia="仿宋_GB2312"/>
          <w:sz w:val="32"/>
          <w:szCs w:val="32"/>
        </w:rPr>
        <w:t>万元及以上）</w:t>
      </w:r>
      <w:r w:rsidRPr="0013481E">
        <w:rPr>
          <w:rFonts w:eastAsia="仿宋_GB2312"/>
          <w:sz w:val="32"/>
          <w:szCs w:val="32"/>
        </w:rPr>
        <w:t>530095</w:t>
      </w:r>
      <w:r w:rsidR="00FA3E3F" w:rsidRPr="0013481E">
        <w:rPr>
          <w:rFonts w:eastAsia="仿宋_GB2312"/>
          <w:sz w:val="32"/>
          <w:szCs w:val="32"/>
        </w:rPr>
        <w:t>万元，</w:t>
      </w:r>
      <w:r w:rsidRPr="0013481E">
        <w:rPr>
          <w:rFonts w:eastAsia="仿宋_GB2312"/>
          <w:sz w:val="32"/>
          <w:szCs w:val="32"/>
        </w:rPr>
        <w:t>同比</w:t>
      </w:r>
      <w:r w:rsidR="0010518E" w:rsidRPr="0013481E">
        <w:rPr>
          <w:rFonts w:eastAsia="仿宋_GB2312"/>
          <w:sz w:val="32"/>
          <w:szCs w:val="32"/>
        </w:rPr>
        <w:t>增长</w:t>
      </w:r>
      <w:r w:rsidRPr="0013481E">
        <w:rPr>
          <w:rFonts w:eastAsia="仿宋_GB2312"/>
          <w:sz w:val="32"/>
          <w:szCs w:val="32"/>
        </w:rPr>
        <w:t>34.67</w:t>
      </w:r>
      <w:r w:rsidR="00FA3E3F" w:rsidRPr="0013481E">
        <w:rPr>
          <w:rFonts w:eastAsia="仿宋_GB2312"/>
          <w:sz w:val="32"/>
          <w:szCs w:val="32"/>
        </w:rPr>
        <w:t>%</w:t>
      </w:r>
      <w:r w:rsidR="00FA3E3F" w:rsidRPr="0013481E">
        <w:rPr>
          <w:rFonts w:eastAsia="仿宋_GB2312"/>
          <w:sz w:val="32"/>
          <w:szCs w:val="32"/>
        </w:rPr>
        <w:t>。在城镇投资中，国有企业投资</w:t>
      </w:r>
      <w:r w:rsidRPr="0013481E">
        <w:rPr>
          <w:rFonts w:eastAsia="仿宋_GB2312"/>
          <w:sz w:val="32"/>
          <w:szCs w:val="32"/>
        </w:rPr>
        <w:lastRenderedPageBreak/>
        <w:t>83441</w:t>
      </w:r>
      <w:r w:rsidR="00FA3E3F" w:rsidRPr="0013481E">
        <w:rPr>
          <w:rFonts w:eastAsia="仿宋_GB2312"/>
          <w:sz w:val="32"/>
          <w:szCs w:val="32"/>
        </w:rPr>
        <w:t>万元，</w:t>
      </w:r>
      <w:r w:rsidRPr="0013481E">
        <w:rPr>
          <w:rFonts w:eastAsia="仿宋_GB2312"/>
          <w:sz w:val="32"/>
          <w:szCs w:val="32"/>
        </w:rPr>
        <w:t>同比</w:t>
      </w:r>
      <w:r w:rsidR="009A5577" w:rsidRPr="0013481E">
        <w:rPr>
          <w:rFonts w:eastAsia="仿宋_GB2312"/>
          <w:sz w:val="32"/>
          <w:szCs w:val="32"/>
        </w:rPr>
        <w:t>增长</w:t>
      </w:r>
      <w:r w:rsidRPr="0013481E">
        <w:rPr>
          <w:rFonts w:eastAsia="仿宋_GB2312"/>
          <w:sz w:val="32"/>
          <w:szCs w:val="32"/>
        </w:rPr>
        <w:t>32.79</w:t>
      </w:r>
      <w:r w:rsidR="00FA3E3F" w:rsidRPr="0013481E">
        <w:rPr>
          <w:rFonts w:eastAsia="仿宋_GB2312"/>
          <w:sz w:val="32"/>
          <w:szCs w:val="32"/>
        </w:rPr>
        <w:t>%</w:t>
      </w:r>
      <w:r w:rsidR="007B6973" w:rsidRPr="0013481E">
        <w:rPr>
          <w:rFonts w:eastAsia="仿宋_GB2312"/>
          <w:sz w:val="32"/>
          <w:szCs w:val="32"/>
        </w:rPr>
        <w:t>。</w:t>
      </w:r>
      <w:r w:rsidR="00851635" w:rsidRPr="0013481E">
        <w:rPr>
          <w:rFonts w:eastAsia="仿宋_GB2312"/>
          <w:sz w:val="32"/>
          <w:szCs w:val="32"/>
        </w:rPr>
        <w:t>按产业分</w:t>
      </w:r>
      <w:r w:rsidR="007B6973" w:rsidRPr="0013481E">
        <w:rPr>
          <w:rFonts w:eastAsia="仿宋_GB2312"/>
          <w:sz w:val="32"/>
          <w:szCs w:val="32"/>
        </w:rPr>
        <w:t>：</w:t>
      </w:r>
      <w:r w:rsidR="00851635" w:rsidRPr="0013481E">
        <w:rPr>
          <w:rFonts w:eastAsia="仿宋_GB2312"/>
          <w:sz w:val="32"/>
          <w:szCs w:val="32"/>
        </w:rPr>
        <w:t>第二产业投资</w:t>
      </w:r>
      <w:r w:rsidRPr="0013481E">
        <w:rPr>
          <w:rFonts w:eastAsia="仿宋_GB2312"/>
          <w:sz w:val="32"/>
          <w:szCs w:val="32"/>
        </w:rPr>
        <w:t>346894</w:t>
      </w:r>
      <w:r w:rsidR="00851635" w:rsidRPr="0013481E">
        <w:rPr>
          <w:rFonts w:eastAsia="仿宋_GB2312"/>
          <w:sz w:val="32"/>
          <w:szCs w:val="32"/>
        </w:rPr>
        <w:t>万元，</w:t>
      </w:r>
      <w:r w:rsidRPr="0013481E">
        <w:rPr>
          <w:rFonts w:eastAsia="仿宋_GB2312"/>
          <w:sz w:val="32"/>
          <w:szCs w:val="32"/>
        </w:rPr>
        <w:t>同比</w:t>
      </w:r>
      <w:r w:rsidR="00851635" w:rsidRPr="0013481E">
        <w:rPr>
          <w:rFonts w:eastAsia="仿宋_GB2312"/>
          <w:sz w:val="32"/>
          <w:szCs w:val="32"/>
        </w:rPr>
        <w:t>增长</w:t>
      </w:r>
      <w:r w:rsidRPr="0013481E">
        <w:rPr>
          <w:rFonts w:eastAsia="仿宋_GB2312"/>
          <w:sz w:val="32"/>
          <w:szCs w:val="32"/>
        </w:rPr>
        <w:t>22.24</w:t>
      </w:r>
      <w:r w:rsidR="00851635" w:rsidRPr="0013481E">
        <w:rPr>
          <w:rFonts w:eastAsia="仿宋_GB2312"/>
          <w:sz w:val="32"/>
          <w:szCs w:val="32"/>
        </w:rPr>
        <w:t>%</w:t>
      </w:r>
      <w:r w:rsidR="007B6973" w:rsidRPr="0013481E">
        <w:rPr>
          <w:rFonts w:eastAsia="仿宋_GB2312"/>
          <w:sz w:val="32"/>
          <w:szCs w:val="32"/>
        </w:rPr>
        <w:t>，其中工业投资</w:t>
      </w:r>
      <w:r w:rsidRPr="0013481E">
        <w:rPr>
          <w:rFonts w:eastAsia="仿宋_GB2312"/>
          <w:sz w:val="32"/>
          <w:szCs w:val="32"/>
        </w:rPr>
        <w:t>346894</w:t>
      </w:r>
      <w:r w:rsidR="007B6973" w:rsidRPr="0013481E">
        <w:rPr>
          <w:rFonts w:eastAsia="仿宋_GB2312"/>
          <w:sz w:val="32"/>
          <w:szCs w:val="32"/>
        </w:rPr>
        <w:t>万元，</w:t>
      </w:r>
      <w:r w:rsidRPr="0013481E">
        <w:rPr>
          <w:rFonts w:eastAsia="仿宋_GB2312"/>
          <w:sz w:val="32"/>
          <w:szCs w:val="32"/>
        </w:rPr>
        <w:t>同比</w:t>
      </w:r>
      <w:r w:rsidR="007B6973" w:rsidRPr="0013481E">
        <w:rPr>
          <w:rFonts w:eastAsia="仿宋_GB2312"/>
          <w:sz w:val="32"/>
          <w:szCs w:val="32"/>
        </w:rPr>
        <w:t>增长</w:t>
      </w:r>
      <w:r w:rsidRPr="0013481E">
        <w:rPr>
          <w:rFonts w:eastAsia="仿宋_GB2312"/>
          <w:sz w:val="32"/>
          <w:szCs w:val="32"/>
        </w:rPr>
        <w:t>22.24</w:t>
      </w:r>
      <w:r w:rsidR="007B6973" w:rsidRPr="0013481E">
        <w:rPr>
          <w:rFonts w:eastAsia="仿宋_GB2312"/>
          <w:sz w:val="32"/>
          <w:szCs w:val="32"/>
        </w:rPr>
        <w:t>%</w:t>
      </w:r>
      <w:r w:rsidR="00851635" w:rsidRPr="0013481E">
        <w:rPr>
          <w:rFonts w:eastAsia="仿宋_GB2312"/>
          <w:sz w:val="32"/>
          <w:szCs w:val="32"/>
        </w:rPr>
        <w:t>；第三产业投资</w:t>
      </w:r>
      <w:r w:rsidRPr="0013481E">
        <w:rPr>
          <w:rFonts w:eastAsia="仿宋_GB2312"/>
          <w:sz w:val="32"/>
          <w:szCs w:val="32"/>
        </w:rPr>
        <w:t>183201</w:t>
      </w:r>
      <w:r w:rsidR="00851635" w:rsidRPr="0013481E">
        <w:rPr>
          <w:rFonts w:eastAsia="仿宋_GB2312"/>
          <w:sz w:val="32"/>
          <w:szCs w:val="32"/>
        </w:rPr>
        <w:t>万元，</w:t>
      </w:r>
      <w:r w:rsidRPr="0013481E">
        <w:rPr>
          <w:rFonts w:eastAsia="仿宋_GB2312"/>
          <w:sz w:val="32"/>
          <w:szCs w:val="32"/>
        </w:rPr>
        <w:t>同比增长</w:t>
      </w:r>
      <w:r w:rsidRPr="0013481E">
        <w:rPr>
          <w:rFonts w:eastAsia="仿宋_GB2312"/>
          <w:sz w:val="32"/>
          <w:szCs w:val="32"/>
        </w:rPr>
        <w:t>66.78</w:t>
      </w:r>
      <w:r w:rsidR="00851635" w:rsidRPr="0013481E">
        <w:rPr>
          <w:rFonts w:eastAsia="仿宋_GB2312"/>
          <w:sz w:val="32"/>
          <w:szCs w:val="32"/>
        </w:rPr>
        <w:t>%</w:t>
      </w:r>
      <w:r w:rsidR="007B6973" w:rsidRPr="0013481E">
        <w:rPr>
          <w:rFonts w:eastAsia="仿宋_GB2312"/>
          <w:sz w:val="32"/>
          <w:szCs w:val="32"/>
        </w:rPr>
        <w:t>，其中房地产企业投资</w:t>
      </w:r>
      <w:r w:rsidRPr="0013481E">
        <w:rPr>
          <w:rFonts w:eastAsia="仿宋_GB2312"/>
          <w:sz w:val="32"/>
          <w:szCs w:val="32"/>
        </w:rPr>
        <w:t>93835</w:t>
      </w:r>
      <w:r w:rsidR="007B6973" w:rsidRPr="0013481E">
        <w:rPr>
          <w:rFonts w:eastAsia="仿宋_GB2312"/>
          <w:sz w:val="32"/>
          <w:szCs w:val="32"/>
        </w:rPr>
        <w:t>万元，</w:t>
      </w:r>
      <w:r w:rsidRPr="0013481E">
        <w:rPr>
          <w:rFonts w:eastAsia="仿宋_GB2312"/>
          <w:sz w:val="32"/>
          <w:szCs w:val="32"/>
        </w:rPr>
        <w:t>同比增长</w:t>
      </w:r>
      <w:r w:rsidRPr="0013481E">
        <w:rPr>
          <w:rFonts w:eastAsia="仿宋_GB2312"/>
          <w:sz w:val="32"/>
          <w:szCs w:val="32"/>
        </w:rPr>
        <w:t>85.1</w:t>
      </w:r>
      <w:r w:rsidR="007B6973" w:rsidRPr="0013481E">
        <w:rPr>
          <w:rFonts w:eastAsia="仿宋_GB2312"/>
          <w:sz w:val="32"/>
          <w:szCs w:val="32"/>
        </w:rPr>
        <w:t>%</w:t>
      </w:r>
      <w:r w:rsidR="007B6973" w:rsidRPr="0013481E">
        <w:rPr>
          <w:rFonts w:eastAsia="仿宋_GB2312"/>
          <w:sz w:val="32"/>
          <w:szCs w:val="32"/>
        </w:rPr>
        <w:t>。</w:t>
      </w:r>
    </w:p>
    <w:p w:rsidR="00567D96" w:rsidRPr="0013481E" w:rsidRDefault="005745C9" w:rsidP="00554432">
      <w:pPr>
        <w:spacing w:afterLines="50" w:line="540" w:lineRule="exact"/>
        <w:ind w:left="0" w:firstLineChars="200" w:firstLine="640"/>
        <w:rPr>
          <w:rFonts w:eastAsia="仿宋_GB2312"/>
          <w:sz w:val="32"/>
          <w:szCs w:val="32"/>
        </w:rPr>
      </w:pPr>
      <w:r w:rsidRPr="0013481E">
        <w:rPr>
          <w:rFonts w:eastAsia="仿宋_GB2312"/>
          <w:sz w:val="32"/>
          <w:szCs w:val="32"/>
        </w:rPr>
        <w:t>“</w:t>
      </w:r>
      <w:r w:rsidRPr="0013481E">
        <w:rPr>
          <w:rFonts w:eastAsia="仿宋_GB2312"/>
          <w:sz w:val="32"/>
          <w:szCs w:val="32"/>
        </w:rPr>
        <w:t>十八大</w:t>
      </w:r>
      <w:r w:rsidRPr="0013481E">
        <w:rPr>
          <w:rFonts w:eastAsia="仿宋_GB2312"/>
          <w:sz w:val="32"/>
          <w:szCs w:val="32"/>
        </w:rPr>
        <w:t>”</w:t>
      </w:r>
      <w:r w:rsidRPr="0013481E">
        <w:rPr>
          <w:rFonts w:eastAsia="仿宋_GB2312"/>
          <w:sz w:val="32"/>
          <w:szCs w:val="32"/>
        </w:rPr>
        <w:t>以来，全县累计完成投资</w:t>
      </w:r>
      <w:r w:rsidR="00487EBD" w:rsidRPr="0013481E">
        <w:rPr>
          <w:rFonts w:eastAsia="仿宋_GB2312"/>
          <w:sz w:val="32"/>
          <w:szCs w:val="32"/>
        </w:rPr>
        <w:t>165.1</w:t>
      </w:r>
      <w:r w:rsidRPr="0013481E">
        <w:rPr>
          <w:rFonts w:eastAsia="仿宋_GB2312"/>
          <w:sz w:val="32"/>
          <w:szCs w:val="32"/>
        </w:rPr>
        <w:t>亿元，</w:t>
      </w:r>
      <w:r w:rsidRPr="0013481E">
        <w:rPr>
          <w:rFonts w:eastAsia="仿宋_GB2312"/>
          <w:sz w:val="32"/>
          <w:szCs w:val="32"/>
        </w:rPr>
        <w:t>2012-2017</w:t>
      </w:r>
      <w:r w:rsidRPr="0013481E">
        <w:rPr>
          <w:rFonts w:eastAsia="仿宋_GB2312"/>
          <w:sz w:val="32"/>
          <w:szCs w:val="32"/>
        </w:rPr>
        <w:t>年固定资产投资年均增长</w:t>
      </w:r>
      <w:r w:rsidRPr="0013481E">
        <w:rPr>
          <w:rFonts w:eastAsia="仿宋_GB2312"/>
          <w:sz w:val="32"/>
          <w:szCs w:val="32"/>
        </w:rPr>
        <w:t>36.4%</w:t>
      </w:r>
      <w:r w:rsidRPr="0013481E">
        <w:rPr>
          <w:rFonts w:eastAsia="仿宋_GB2312"/>
          <w:sz w:val="32"/>
          <w:szCs w:val="32"/>
        </w:rPr>
        <w:t>，是历史上固定资产投资最多的时期。</w:t>
      </w:r>
    </w:p>
    <w:p w:rsidR="005745C9" w:rsidRPr="0013481E" w:rsidRDefault="005745C9" w:rsidP="00554432">
      <w:pPr>
        <w:spacing w:afterLines="50" w:line="540" w:lineRule="exact"/>
        <w:ind w:left="0" w:firstLineChars="200" w:firstLine="640"/>
        <w:rPr>
          <w:rFonts w:eastAsia="仿宋_GB2312"/>
          <w:sz w:val="32"/>
          <w:szCs w:val="32"/>
        </w:rPr>
      </w:pPr>
      <w:r w:rsidRPr="0013481E">
        <w:rPr>
          <w:rFonts w:eastAsia="仿宋_GB2312"/>
          <w:sz w:val="32"/>
          <w:szCs w:val="32"/>
        </w:rPr>
        <w:t>2017</w:t>
      </w:r>
      <w:r w:rsidRPr="0013481E">
        <w:rPr>
          <w:rFonts w:eastAsia="仿宋_GB2312"/>
          <w:sz w:val="32"/>
          <w:szCs w:val="32"/>
        </w:rPr>
        <w:t>年，全县房地产开发投资</w:t>
      </w:r>
      <w:r w:rsidRPr="0013481E">
        <w:rPr>
          <w:rFonts w:eastAsia="仿宋_GB2312"/>
          <w:sz w:val="32"/>
          <w:szCs w:val="32"/>
        </w:rPr>
        <w:t>93835</w:t>
      </w:r>
      <w:r w:rsidRPr="0013481E">
        <w:rPr>
          <w:rFonts w:eastAsia="仿宋_GB2312"/>
          <w:sz w:val="32"/>
          <w:szCs w:val="32"/>
        </w:rPr>
        <w:t>万元，同比增长</w:t>
      </w:r>
      <w:r w:rsidRPr="0013481E">
        <w:rPr>
          <w:rFonts w:eastAsia="仿宋_GB2312"/>
          <w:sz w:val="32"/>
          <w:szCs w:val="32"/>
        </w:rPr>
        <w:t>85.1%</w:t>
      </w:r>
      <w:r w:rsidR="007B657B" w:rsidRPr="0013481E">
        <w:rPr>
          <w:rFonts w:eastAsia="仿宋_GB2312"/>
          <w:sz w:val="32"/>
          <w:szCs w:val="32"/>
        </w:rPr>
        <w:t>；全县商品房销售面积</w:t>
      </w:r>
      <w:r w:rsidR="007B657B" w:rsidRPr="0013481E">
        <w:rPr>
          <w:rFonts w:eastAsia="仿宋_GB2312"/>
          <w:sz w:val="32"/>
          <w:szCs w:val="32"/>
        </w:rPr>
        <w:t>224713</w:t>
      </w:r>
      <w:r w:rsidR="007B657B" w:rsidRPr="0013481E">
        <w:rPr>
          <w:rFonts w:eastAsia="仿宋_GB2312"/>
          <w:sz w:val="32"/>
          <w:szCs w:val="32"/>
        </w:rPr>
        <w:t>平方米，增长</w:t>
      </w:r>
      <w:r w:rsidR="007B657B" w:rsidRPr="0013481E">
        <w:rPr>
          <w:rFonts w:eastAsia="仿宋_GB2312"/>
          <w:sz w:val="32"/>
          <w:szCs w:val="32"/>
        </w:rPr>
        <w:t>84.73%</w:t>
      </w:r>
      <w:r w:rsidR="007B657B" w:rsidRPr="0013481E">
        <w:rPr>
          <w:rFonts w:eastAsia="仿宋_GB2312"/>
          <w:sz w:val="32"/>
          <w:szCs w:val="32"/>
        </w:rPr>
        <w:t>，其中住宅销售面积增长</w:t>
      </w:r>
      <w:r w:rsidR="007B657B" w:rsidRPr="0013481E">
        <w:rPr>
          <w:rFonts w:eastAsia="仿宋_GB2312"/>
          <w:sz w:val="32"/>
          <w:szCs w:val="32"/>
        </w:rPr>
        <w:t>99.92%</w:t>
      </w:r>
      <w:r w:rsidR="007B657B" w:rsidRPr="0013481E">
        <w:rPr>
          <w:rFonts w:eastAsia="仿宋_GB2312"/>
          <w:sz w:val="32"/>
          <w:szCs w:val="32"/>
        </w:rPr>
        <w:t>；全县商品房销售额</w:t>
      </w:r>
      <w:r w:rsidR="007B657B" w:rsidRPr="0013481E">
        <w:rPr>
          <w:rFonts w:eastAsia="仿宋_GB2312"/>
          <w:sz w:val="32"/>
          <w:szCs w:val="32"/>
        </w:rPr>
        <w:t>112769</w:t>
      </w:r>
      <w:r w:rsidR="007B657B" w:rsidRPr="0013481E">
        <w:rPr>
          <w:rFonts w:eastAsia="仿宋_GB2312"/>
          <w:sz w:val="32"/>
          <w:szCs w:val="32"/>
        </w:rPr>
        <w:t>万元，增长</w:t>
      </w:r>
      <w:r w:rsidR="007B657B" w:rsidRPr="0013481E">
        <w:rPr>
          <w:rFonts w:eastAsia="仿宋_GB2312"/>
          <w:sz w:val="32"/>
          <w:szCs w:val="32"/>
        </w:rPr>
        <w:t>120.6%</w:t>
      </w:r>
      <w:r w:rsidR="007B657B" w:rsidRPr="0013481E">
        <w:rPr>
          <w:rFonts w:eastAsia="仿宋_GB2312"/>
          <w:sz w:val="32"/>
          <w:szCs w:val="32"/>
        </w:rPr>
        <w:t>，其中住宅销售额增长</w:t>
      </w:r>
      <w:r w:rsidR="007B657B" w:rsidRPr="0013481E">
        <w:rPr>
          <w:rFonts w:eastAsia="仿宋_GB2312"/>
          <w:sz w:val="32"/>
          <w:szCs w:val="32"/>
        </w:rPr>
        <w:t>174.11%</w:t>
      </w:r>
      <w:r w:rsidR="007B657B" w:rsidRPr="0013481E">
        <w:rPr>
          <w:rFonts w:eastAsia="仿宋_GB2312"/>
          <w:sz w:val="32"/>
          <w:szCs w:val="32"/>
        </w:rPr>
        <w:t>；全县商品房待售面积</w:t>
      </w:r>
      <w:r w:rsidR="007B657B" w:rsidRPr="0013481E">
        <w:rPr>
          <w:rFonts w:eastAsia="仿宋_GB2312"/>
          <w:sz w:val="32"/>
          <w:szCs w:val="32"/>
        </w:rPr>
        <w:t>87252</w:t>
      </w:r>
      <w:r w:rsidR="007B657B" w:rsidRPr="0013481E">
        <w:rPr>
          <w:rFonts w:eastAsia="仿宋_GB2312"/>
          <w:sz w:val="32"/>
          <w:szCs w:val="32"/>
        </w:rPr>
        <w:t>平方米，比上年末减少</w:t>
      </w:r>
      <w:r w:rsidR="007B657B" w:rsidRPr="0013481E">
        <w:rPr>
          <w:rFonts w:eastAsia="仿宋_GB2312"/>
          <w:sz w:val="32"/>
          <w:szCs w:val="32"/>
        </w:rPr>
        <w:t>7507</w:t>
      </w:r>
      <w:r w:rsidR="007B657B" w:rsidRPr="0013481E">
        <w:rPr>
          <w:rFonts w:eastAsia="仿宋_GB2312"/>
          <w:sz w:val="32"/>
          <w:szCs w:val="32"/>
        </w:rPr>
        <w:t>平方米，比上月末少</w:t>
      </w:r>
      <w:r w:rsidR="007B657B" w:rsidRPr="0013481E">
        <w:rPr>
          <w:rFonts w:eastAsia="仿宋_GB2312"/>
          <w:sz w:val="32"/>
          <w:szCs w:val="32"/>
        </w:rPr>
        <w:t>4997</w:t>
      </w:r>
      <w:r w:rsidR="007B657B" w:rsidRPr="0013481E">
        <w:rPr>
          <w:rFonts w:eastAsia="仿宋_GB2312"/>
          <w:sz w:val="32"/>
          <w:szCs w:val="32"/>
        </w:rPr>
        <w:t>平方米。</w:t>
      </w:r>
    </w:p>
    <w:p w:rsidR="00FC292A" w:rsidRPr="0013481E" w:rsidRDefault="00FC292A" w:rsidP="00FC292A">
      <w:pPr>
        <w:widowControl/>
        <w:shd w:val="clear" w:color="auto" w:fill="FFFFFF"/>
        <w:spacing w:before="100" w:beforeAutospacing="1" w:after="100" w:afterAutospacing="1" w:line="480" w:lineRule="atLeast"/>
        <w:ind w:left="0"/>
        <w:jc w:val="center"/>
        <w:textAlignment w:val="auto"/>
        <w:rPr>
          <w:rFonts w:eastAsiaTheme="majorEastAsia"/>
          <w:color w:val="auto"/>
          <w:sz w:val="28"/>
          <w:szCs w:val="28"/>
        </w:rPr>
      </w:pPr>
      <w:r w:rsidRPr="0013481E">
        <w:rPr>
          <w:rFonts w:eastAsiaTheme="majorEastAsia" w:hAnsiTheme="majorEastAsia"/>
          <w:bCs/>
          <w:color w:val="auto"/>
          <w:sz w:val="28"/>
          <w:szCs w:val="28"/>
        </w:rPr>
        <w:t>表</w:t>
      </w:r>
      <w:r w:rsidRPr="0013481E">
        <w:rPr>
          <w:rFonts w:eastAsiaTheme="majorEastAsia"/>
          <w:bCs/>
          <w:color w:val="auto"/>
          <w:sz w:val="28"/>
          <w:szCs w:val="28"/>
        </w:rPr>
        <w:t>3 2017</w:t>
      </w:r>
      <w:r w:rsidRPr="0013481E">
        <w:rPr>
          <w:rFonts w:eastAsiaTheme="majorEastAsia" w:hAnsiTheme="majorEastAsia"/>
          <w:bCs/>
          <w:color w:val="auto"/>
          <w:sz w:val="28"/>
          <w:szCs w:val="28"/>
        </w:rPr>
        <w:t>年房地产开发和销售主要指标完成情况</w:t>
      </w:r>
    </w:p>
    <w:tbl>
      <w:tblPr>
        <w:tblW w:w="8365" w:type="dxa"/>
        <w:jc w:val="center"/>
        <w:tblCellMar>
          <w:top w:w="15" w:type="dxa"/>
          <w:left w:w="15" w:type="dxa"/>
          <w:bottom w:w="15" w:type="dxa"/>
          <w:right w:w="15" w:type="dxa"/>
        </w:tblCellMar>
        <w:tblLook w:val="04A0"/>
      </w:tblPr>
      <w:tblGrid>
        <w:gridCol w:w="3616"/>
        <w:gridCol w:w="1418"/>
        <w:gridCol w:w="1630"/>
        <w:gridCol w:w="1701"/>
      </w:tblGrid>
      <w:tr w:rsidR="00FC292A" w:rsidRPr="0013481E" w:rsidTr="007B657B">
        <w:trPr>
          <w:trHeight w:val="535"/>
          <w:jc w:val="center"/>
        </w:trPr>
        <w:tc>
          <w:tcPr>
            <w:tcW w:w="36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指</w:t>
            </w:r>
            <w:r w:rsidRPr="0013481E">
              <w:rPr>
                <w:rFonts w:eastAsia="仿宋_GB2312"/>
                <w:color w:val="auto"/>
                <w:sz w:val="24"/>
                <w:szCs w:val="24"/>
              </w:rPr>
              <w:t xml:space="preserve">   </w:t>
            </w:r>
            <w:r w:rsidRPr="0013481E">
              <w:rPr>
                <w:rFonts w:eastAsia="仿宋_GB2312"/>
                <w:color w:val="auto"/>
                <w:sz w:val="24"/>
                <w:szCs w:val="24"/>
              </w:rPr>
              <w:t>标</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单位</w:t>
            </w:r>
          </w:p>
        </w:tc>
        <w:tc>
          <w:tcPr>
            <w:tcW w:w="16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绝对数</w:t>
            </w:r>
          </w:p>
        </w:tc>
        <w:tc>
          <w:tcPr>
            <w:tcW w:w="1701" w:type="dxa"/>
            <w:tcBorders>
              <w:top w:val="single" w:sz="8" w:space="0" w:color="000000"/>
              <w:left w:val="nil"/>
              <w:bottom w:val="single" w:sz="8" w:space="0" w:color="000000"/>
              <w:right w:val="nil"/>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比上年增长（</w:t>
            </w:r>
            <w:r w:rsidRPr="0013481E">
              <w:rPr>
                <w:rFonts w:eastAsia="仿宋_GB2312"/>
                <w:color w:val="auto"/>
                <w:sz w:val="24"/>
                <w:szCs w:val="24"/>
              </w:rPr>
              <w:t>%</w:t>
            </w:r>
            <w:r w:rsidRPr="0013481E">
              <w:rPr>
                <w:rFonts w:eastAsia="仿宋_GB2312"/>
                <w:color w:val="auto"/>
                <w:sz w:val="24"/>
                <w:szCs w:val="24"/>
              </w:rPr>
              <w:t>）</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房地产开发投资</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万元</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93835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85.1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其中：住宅</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万元</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87147</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186.58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房屋施工面积</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82.24</w:t>
            </w:r>
          </w:p>
        </w:tc>
        <w:tc>
          <w:tcPr>
            <w:tcW w:w="1701" w:type="dxa"/>
            <w:tcBorders>
              <w:top w:val="nil"/>
              <w:left w:val="nil"/>
              <w:bottom w:val="nil"/>
              <w:right w:val="nil"/>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62.54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其中：本年新开工面积</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51.16</w:t>
            </w:r>
          </w:p>
        </w:tc>
        <w:tc>
          <w:tcPr>
            <w:tcW w:w="1701" w:type="dxa"/>
            <w:tcBorders>
              <w:top w:val="nil"/>
              <w:left w:val="nil"/>
              <w:bottom w:val="nil"/>
              <w:right w:val="nil"/>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182.88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房屋竣工面积</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3.63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-46.94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其中：住宅</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2.91</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426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商品房销售面积</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22.47</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84.73</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其中：住宅</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20.79</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99.92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商品房销售额</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万元</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11.28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120.6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其中：住宅</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万元</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 xml:space="preserve">9.93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174.11</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商品房待售面积</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5E4338"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8.73</w:t>
            </w:r>
            <w:r w:rsidR="00FC292A" w:rsidRPr="0013481E">
              <w:rPr>
                <w:rFonts w:eastAsia="仿宋_GB2312"/>
                <w:color w:val="auto"/>
                <w:sz w:val="24"/>
                <w:szCs w:val="24"/>
              </w:rPr>
              <w:t xml:space="preserve">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5E4338"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18.59</w:t>
            </w:r>
            <w:r w:rsidR="00FC292A" w:rsidRPr="0013481E">
              <w:rPr>
                <w:rFonts w:eastAsia="仿宋_GB2312"/>
                <w:color w:val="auto"/>
                <w:sz w:val="24"/>
                <w:szCs w:val="24"/>
              </w:rPr>
              <w:t xml:space="preserve"> </w:t>
            </w:r>
          </w:p>
        </w:tc>
      </w:tr>
      <w:tr w:rsidR="00FC292A" w:rsidRPr="0013481E" w:rsidTr="007B657B">
        <w:trPr>
          <w:trHeight w:val="336"/>
          <w:jc w:val="center"/>
        </w:trPr>
        <w:tc>
          <w:tcPr>
            <w:tcW w:w="3616"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   </w:t>
            </w:r>
            <w:r w:rsidRPr="0013481E">
              <w:rPr>
                <w:rFonts w:eastAsia="仿宋_GB2312"/>
                <w:color w:val="auto"/>
                <w:sz w:val="24"/>
                <w:szCs w:val="24"/>
              </w:rPr>
              <w:t>其中：住宅</w:t>
            </w:r>
          </w:p>
        </w:tc>
        <w:tc>
          <w:tcPr>
            <w:tcW w:w="1418" w:type="dxa"/>
            <w:tcBorders>
              <w:top w:val="nil"/>
              <w:left w:val="nil"/>
              <w:bottom w:val="nil"/>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nil"/>
              <w:right w:val="single" w:sz="8" w:space="0" w:color="000000"/>
            </w:tcBorders>
            <w:tcMar>
              <w:top w:w="0" w:type="dxa"/>
              <w:left w:w="108" w:type="dxa"/>
              <w:bottom w:w="0" w:type="dxa"/>
              <w:right w:w="108" w:type="dxa"/>
            </w:tcMar>
            <w:vAlign w:val="bottom"/>
            <w:hideMark/>
          </w:tcPr>
          <w:p w:rsidR="00FC292A" w:rsidRPr="0013481E" w:rsidRDefault="005E4338"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2.65</w:t>
            </w:r>
            <w:r w:rsidR="00FC292A" w:rsidRPr="0013481E">
              <w:rPr>
                <w:rFonts w:eastAsia="仿宋_GB2312"/>
                <w:color w:val="auto"/>
                <w:sz w:val="24"/>
                <w:szCs w:val="24"/>
              </w:rPr>
              <w:t xml:space="preserve"> </w:t>
            </w:r>
          </w:p>
        </w:tc>
        <w:tc>
          <w:tcPr>
            <w:tcW w:w="1701" w:type="dxa"/>
            <w:tcBorders>
              <w:top w:val="nil"/>
              <w:left w:val="nil"/>
              <w:bottom w:val="nil"/>
              <w:right w:val="nil"/>
            </w:tcBorders>
            <w:tcMar>
              <w:top w:w="0" w:type="dxa"/>
              <w:left w:w="108" w:type="dxa"/>
              <w:bottom w:w="0" w:type="dxa"/>
              <w:right w:w="108" w:type="dxa"/>
            </w:tcMar>
            <w:vAlign w:val="bottom"/>
            <w:hideMark/>
          </w:tcPr>
          <w:p w:rsidR="00FC292A" w:rsidRPr="0013481E" w:rsidRDefault="00FC292A" w:rsidP="005E4338">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w:t>
            </w:r>
            <w:r w:rsidR="005E4338" w:rsidRPr="0013481E">
              <w:rPr>
                <w:rFonts w:eastAsia="仿宋_GB2312"/>
                <w:color w:val="auto"/>
                <w:sz w:val="24"/>
                <w:szCs w:val="24"/>
              </w:rPr>
              <w:t>34.14</w:t>
            </w:r>
            <w:r w:rsidRPr="0013481E">
              <w:rPr>
                <w:rFonts w:eastAsia="仿宋_GB2312"/>
                <w:color w:val="auto"/>
                <w:sz w:val="24"/>
                <w:szCs w:val="24"/>
              </w:rPr>
              <w:t xml:space="preserve"> </w:t>
            </w:r>
          </w:p>
        </w:tc>
      </w:tr>
      <w:tr w:rsidR="00FC292A" w:rsidRPr="0013481E" w:rsidTr="007B657B">
        <w:trPr>
          <w:trHeight w:val="336"/>
          <w:jc w:val="center"/>
        </w:trPr>
        <w:tc>
          <w:tcPr>
            <w:tcW w:w="36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left"/>
              <w:textAlignment w:val="auto"/>
              <w:rPr>
                <w:rFonts w:eastAsia="仿宋_GB2312"/>
                <w:color w:val="auto"/>
                <w:sz w:val="24"/>
                <w:szCs w:val="24"/>
              </w:rPr>
            </w:pPr>
            <w:r w:rsidRPr="0013481E">
              <w:rPr>
                <w:rFonts w:eastAsia="仿宋_GB2312"/>
                <w:color w:val="auto"/>
                <w:sz w:val="24"/>
                <w:szCs w:val="24"/>
              </w:rPr>
              <w:t>本年购置土地面积</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292A" w:rsidRPr="0013481E" w:rsidRDefault="00FC292A" w:rsidP="00FC292A">
            <w:pPr>
              <w:widowControl/>
              <w:spacing w:before="100" w:beforeAutospacing="1" w:after="100" w:afterAutospacing="1" w:line="240" w:lineRule="atLeast"/>
              <w:ind w:left="0"/>
              <w:jc w:val="center"/>
              <w:textAlignment w:val="auto"/>
              <w:rPr>
                <w:rFonts w:eastAsia="仿宋_GB2312"/>
                <w:color w:val="auto"/>
                <w:sz w:val="24"/>
                <w:szCs w:val="24"/>
              </w:rPr>
            </w:pPr>
            <w:r w:rsidRPr="0013481E">
              <w:rPr>
                <w:rFonts w:eastAsia="仿宋_GB2312"/>
                <w:color w:val="auto"/>
                <w:sz w:val="24"/>
                <w:szCs w:val="24"/>
              </w:rPr>
              <w:t>万平方米</w:t>
            </w:r>
          </w:p>
        </w:tc>
        <w:tc>
          <w:tcPr>
            <w:tcW w:w="16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FC292A" w:rsidRPr="0013481E" w:rsidRDefault="005E4338"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19.49</w:t>
            </w:r>
            <w:r w:rsidR="00FC292A" w:rsidRPr="0013481E">
              <w:rPr>
                <w:rFonts w:eastAsia="仿宋_GB2312"/>
                <w:color w:val="auto"/>
                <w:sz w:val="24"/>
                <w:szCs w:val="24"/>
              </w:rPr>
              <w:t xml:space="preserve"> </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rsidR="00FC292A" w:rsidRPr="0013481E" w:rsidRDefault="005E4338" w:rsidP="00FC292A">
            <w:pPr>
              <w:widowControl/>
              <w:spacing w:before="100" w:beforeAutospacing="1" w:after="100" w:afterAutospacing="1" w:line="240" w:lineRule="atLeast"/>
              <w:ind w:left="0"/>
              <w:jc w:val="right"/>
              <w:textAlignment w:val="auto"/>
              <w:rPr>
                <w:rFonts w:eastAsia="仿宋_GB2312"/>
                <w:color w:val="auto"/>
                <w:sz w:val="24"/>
                <w:szCs w:val="24"/>
              </w:rPr>
            </w:pPr>
            <w:r w:rsidRPr="0013481E">
              <w:rPr>
                <w:rFonts w:eastAsia="仿宋_GB2312"/>
                <w:color w:val="auto"/>
                <w:sz w:val="24"/>
                <w:szCs w:val="24"/>
              </w:rPr>
              <w:t>237.97</w:t>
            </w:r>
            <w:r w:rsidR="00FC292A" w:rsidRPr="0013481E">
              <w:rPr>
                <w:rFonts w:eastAsia="仿宋_GB2312"/>
                <w:color w:val="auto"/>
                <w:sz w:val="24"/>
                <w:szCs w:val="24"/>
              </w:rPr>
              <w:t xml:space="preserve"> </w:t>
            </w:r>
          </w:p>
        </w:tc>
      </w:tr>
    </w:tbl>
    <w:p w:rsidR="00FC292A" w:rsidRPr="0013481E" w:rsidRDefault="00FC292A" w:rsidP="00554432">
      <w:pPr>
        <w:spacing w:afterLines="50" w:line="540" w:lineRule="exact"/>
        <w:ind w:left="0" w:firstLineChars="200" w:firstLine="643"/>
        <w:rPr>
          <w:rFonts w:eastAsia="仿宋_GB2312"/>
          <w:b/>
          <w:sz w:val="32"/>
          <w:szCs w:val="32"/>
        </w:rPr>
      </w:pPr>
    </w:p>
    <w:p w:rsidR="00FA3E3F"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五、交通</w:t>
      </w:r>
      <w:r w:rsidR="007F35AD" w:rsidRPr="0013481E">
        <w:rPr>
          <w:rFonts w:eastAsia="黑体" w:hAnsi="黑体"/>
          <w:sz w:val="32"/>
          <w:szCs w:val="32"/>
        </w:rPr>
        <w:t>、</w:t>
      </w:r>
      <w:r w:rsidRPr="0013481E">
        <w:rPr>
          <w:rFonts w:eastAsia="黑体" w:hAnsi="黑体"/>
          <w:sz w:val="32"/>
          <w:szCs w:val="32"/>
        </w:rPr>
        <w:t>邮电业</w:t>
      </w:r>
      <w:r w:rsidR="007F35AD" w:rsidRPr="0013481E">
        <w:rPr>
          <w:rFonts w:eastAsia="黑体" w:hAnsi="黑体"/>
          <w:sz w:val="32"/>
          <w:szCs w:val="32"/>
        </w:rPr>
        <w:t>和旅游业</w:t>
      </w:r>
    </w:p>
    <w:p w:rsidR="001513F8" w:rsidRPr="0013481E" w:rsidRDefault="006A07AF" w:rsidP="00554432">
      <w:pPr>
        <w:spacing w:afterLines="50" w:line="540" w:lineRule="exact"/>
        <w:ind w:left="0" w:firstLineChars="200" w:firstLine="640"/>
        <w:rPr>
          <w:rFonts w:eastAsia="仿宋_GB2312"/>
          <w:color w:val="222222"/>
          <w:sz w:val="32"/>
          <w:szCs w:val="32"/>
          <w:highlight w:val="yellow"/>
          <w:shd w:val="clear" w:color="auto" w:fill="FFFFFF"/>
        </w:rPr>
      </w:pPr>
      <w:r w:rsidRPr="007520E5">
        <w:rPr>
          <w:rFonts w:eastAsia="仿宋_GB2312"/>
          <w:sz w:val="32"/>
          <w:szCs w:val="32"/>
        </w:rPr>
        <w:lastRenderedPageBreak/>
        <w:t>2017</w:t>
      </w:r>
      <w:r w:rsidR="00357EB7" w:rsidRPr="007520E5">
        <w:rPr>
          <w:rFonts w:eastAsia="仿宋_GB2312"/>
          <w:sz w:val="32"/>
          <w:szCs w:val="32"/>
        </w:rPr>
        <w:t>年，面对</w:t>
      </w:r>
      <w:r w:rsidR="00357EB7" w:rsidRPr="007520E5">
        <w:rPr>
          <w:rFonts w:eastAsia="仿宋_GB2312"/>
          <w:sz w:val="32"/>
          <w:szCs w:val="32"/>
        </w:rPr>
        <w:t>“</w:t>
      </w:r>
      <w:r w:rsidR="00357EB7" w:rsidRPr="007520E5">
        <w:rPr>
          <w:rFonts w:eastAsia="仿宋_GB2312"/>
          <w:sz w:val="32"/>
          <w:szCs w:val="32"/>
        </w:rPr>
        <w:t>改善城乡交通</w:t>
      </w:r>
      <w:r w:rsidR="00357EB7" w:rsidRPr="007520E5">
        <w:rPr>
          <w:rFonts w:eastAsia="仿宋_GB2312"/>
          <w:sz w:val="32"/>
          <w:szCs w:val="32"/>
        </w:rPr>
        <w:t>”</w:t>
      </w:r>
      <w:r w:rsidR="00357EB7" w:rsidRPr="007520E5">
        <w:rPr>
          <w:rFonts w:eastAsia="仿宋_GB2312"/>
          <w:sz w:val="32"/>
          <w:szCs w:val="32"/>
        </w:rPr>
        <w:t>的民生呼唤，县委县</w:t>
      </w:r>
      <w:r w:rsidR="001D7BEA" w:rsidRPr="007520E5">
        <w:rPr>
          <w:rFonts w:eastAsia="仿宋_GB2312"/>
          <w:sz w:val="32"/>
          <w:szCs w:val="32"/>
        </w:rPr>
        <w:t>政</w:t>
      </w:r>
      <w:r w:rsidR="00357EB7" w:rsidRPr="007520E5">
        <w:rPr>
          <w:rFonts w:eastAsia="仿宋_GB2312"/>
          <w:sz w:val="32"/>
          <w:szCs w:val="32"/>
        </w:rPr>
        <w:t>府</w:t>
      </w:r>
      <w:r w:rsidRPr="007520E5">
        <w:rPr>
          <w:rFonts w:eastAsia="仿宋_GB2312"/>
          <w:sz w:val="32"/>
          <w:szCs w:val="32"/>
        </w:rPr>
        <w:t>把城乡公交列入十大民生实事之一，推动城乡公交落地。</w:t>
      </w:r>
      <w:r w:rsidR="00357EB7" w:rsidRPr="007520E5">
        <w:rPr>
          <w:rFonts w:eastAsia="仿宋_GB2312"/>
          <w:sz w:val="32"/>
          <w:szCs w:val="32"/>
        </w:rPr>
        <w:t>至年底</w:t>
      </w:r>
      <w:r w:rsidRPr="007520E5">
        <w:rPr>
          <w:rFonts w:eastAsia="仿宋_GB2312"/>
          <w:sz w:val="32"/>
          <w:szCs w:val="32"/>
        </w:rPr>
        <w:t>，</w:t>
      </w:r>
      <w:r w:rsidR="00357EB7" w:rsidRPr="007520E5">
        <w:rPr>
          <w:rFonts w:eastAsia="仿宋_GB2312"/>
          <w:sz w:val="32"/>
          <w:szCs w:val="32"/>
        </w:rPr>
        <w:t>全</w:t>
      </w:r>
      <w:r w:rsidRPr="007520E5">
        <w:rPr>
          <w:rFonts w:eastAsia="仿宋_GB2312"/>
          <w:sz w:val="32"/>
          <w:szCs w:val="32"/>
        </w:rPr>
        <w:t>县已</w:t>
      </w:r>
      <w:r w:rsidR="001D7BEA" w:rsidRPr="007520E5">
        <w:rPr>
          <w:rFonts w:eastAsia="仿宋_GB2312"/>
          <w:sz w:val="32"/>
          <w:szCs w:val="32"/>
        </w:rPr>
        <w:t>投入</w:t>
      </w:r>
      <w:r w:rsidRPr="007520E5">
        <w:rPr>
          <w:rFonts w:eastAsia="仿宋_GB2312"/>
          <w:sz w:val="32"/>
          <w:szCs w:val="32"/>
        </w:rPr>
        <w:t>42</w:t>
      </w:r>
      <w:r w:rsidRPr="007520E5">
        <w:rPr>
          <w:rFonts w:eastAsia="仿宋_GB2312"/>
          <w:sz w:val="32"/>
          <w:szCs w:val="32"/>
        </w:rPr>
        <w:t>辆新能源公交车，开通</w:t>
      </w:r>
      <w:r w:rsidRPr="007520E5">
        <w:rPr>
          <w:rFonts w:eastAsia="仿宋_GB2312"/>
          <w:sz w:val="32"/>
          <w:szCs w:val="32"/>
        </w:rPr>
        <w:t>17</w:t>
      </w:r>
      <w:r w:rsidRPr="007520E5">
        <w:rPr>
          <w:rFonts w:eastAsia="仿宋_GB2312"/>
          <w:sz w:val="32"/>
          <w:szCs w:val="32"/>
        </w:rPr>
        <w:t>条城乡公交线路，实现</w:t>
      </w:r>
      <w:r w:rsidRPr="007520E5">
        <w:rPr>
          <w:rFonts w:eastAsia="仿宋_GB2312"/>
          <w:sz w:val="32"/>
          <w:szCs w:val="32"/>
        </w:rPr>
        <w:t>8</w:t>
      </w:r>
      <w:r w:rsidRPr="007520E5">
        <w:rPr>
          <w:rFonts w:eastAsia="仿宋_GB2312"/>
          <w:sz w:val="32"/>
          <w:szCs w:val="32"/>
        </w:rPr>
        <w:t>个镇全覆盖，全县</w:t>
      </w:r>
      <w:r w:rsidRPr="007520E5">
        <w:rPr>
          <w:rFonts w:eastAsia="仿宋_GB2312"/>
          <w:sz w:val="32"/>
          <w:szCs w:val="32"/>
        </w:rPr>
        <w:t>97</w:t>
      </w:r>
      <w:r w:rsidRPr="007520E5">
        <w:rPr>
          <w:rFonts w:eastAsia="仿宋_GB2312"/>
          <w:sz w:val="32"/>
          <w:szCs w:val="32"/>
        </w:rPr>
        <w:t>个行政村中有</w:t>
      </w:r>
      <w:r w:rsidRPr="007520E5">
        <w:rPr>
          <w:rFonts w:eastAsia="仿宋_GB2312"/>
          <w:sz w:val="32"/>
          <w:szCs w:val="32"/>
        </w:rPr>
        <w:t>92</w:t>
      </w:r>
      <w:r w:rsidRPr="007520E5">
        <w:rPr>
          <w:rFonts w:eastAsia="仿宋_GB2312"/>
          <w:sz w:val="32"/>
          <w:szCs w:val="32"/>
        </w:rPr>
        <w:t>个行政村开通了公交线路，覆盖率达</w:t>
      </w:r>
      <w:r w:rsidRPr="007520E5">
        <w:rPr>
          <w:rFonts w:eastAsia="仿宋_GB2312"/>
          <w:sz w:val="32"/>
          <w:szCs w:val="32"/>
        </w:rPr>
        <w:t>95%</w:t>
      </w:r>
      <w:r w:rsidRPr="007520E5">
        <w:rPr>
          <w:rFonts w:eastAsia="仿宋_GB2312"/>
          <w:sz w:val="32"/>
          <w:szCs w:val="32"/>
        </w:rPr>
        <w:t>。蕉岭成为全省率先落实城乡客运一体化的县（市、区）。</w:t>
      </w:r>
    </w:p>
    <w:p w:rsidR="00FA3E3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全年各种运输方式完成货运周转量</w:t>
      </w:r>
      <w:r w:rsidR="00C07CBB" w:rsidRPr="0013481E">
        <w:rPr>
          <w:rFonts w:eastAsia="仿宋_GB2312"/>
          <w:sz w:val="32"/>
          <w:szCs w:val="32"/>
        </w:rPr>
        <w:t>116813</w:t>
      </w:r>
      <w:r w:rsidRPr="0013481E">
        <w:rPr>
          <w:rFonts w:eastAsia="仿宋_GB2312"/>
          <w:sz w:val="32"/>
          <w:szCs w:val="32"/>
        </w:rPr>
        <w:t>万吨公里，比上年增长</w:t>
      </w:r>
      <w:r w:rsidR="00C07CBB" w:rsidRPr="0013481E">
        <w:rPr>
          <w:rFonts w:eastAsia="仿宋_GB2312"/>
          <w:sz w:val="32"/>
          <w:szCs w:val="32"/>
        </w:rPr>
        <w:t>10.9</w:t>
      </w:r>
      <w:r w:rsidRPr="0013481E">
        <w:rPr>
          <w:rFonts w:eastAsia="仿宋_GB2312"/>
          <w:sz w:val="32"/>
          <w:szCs w:val="32"/>
        </w:rPr>
        <w:t>%</w:t>
      </w:r>
      <w:r w:rsidRPr="0013481E">
        <w:rPr>
          <w:rFonts w:eastAsia="仿宋_GB2312"/>
          <w:sz w:val="32"/>
          <w:szCs w:val="32"/>
        </w:rPr>
        <w:t>；客运周转量</w:t>
      </w:r>
      <w:r w:rsidR="00C07CBB" w:rsidRPr="0013481E">
        <w:rPr>
          <w:rFonts w:eastAsia="仿宋_GB2312"/>
          <w:sz w:val="32"/>
          <w:szCs w:val="32"/>
        </w:rPr>
        <w:t>43724</w:t>
      </w:r>
      <w:r w:rsidRPr="0013481E">
        <w:rPr>
          <w:rFonts w:eastAsia="仿宋_GB2312"/>
          <w:sz w:val="32"/>
          <w:szCs w:val="32"/>
        </w:rPr>
        <w:t>万人公里，比上年增长</w:t>
      </w:r>
      <w:r w:rsidR="00C07CBB" w:rsidRPr="0013481E">
        <w:rPr>
          <w:rFonts w:eastAsia="仿宋_GB2312"/>
          <w:sz w:val="32"/>
          <w:szCs w:val="32"/>
        </w:rPr>
        <w:t>12</w:t>
      </w:r>
      <w:r w:rsidRPr="0013481E">
        <w:rPr>
          <w:rFonts w:eastAsia="仿宋_GB2312"/>
          <w:sz w:val="32"/>
          <w:szCs w:val="32"/>
        </w:rPr>
        <w:t>%</w:t>
      </w:r>
      <w:r w:rsidRPr="0013481E">
        <w:rPr>
          <w:rFonts w:eastAsia="仿宋_GB2312"/>
          <w:sz w:val="32"/>
          <w:szCs w:val="32"/>
        </w:rPr>
        <w:t>。</w:t>
      </w:r>
    </w:p>
    <w:p w:rsidR="00FA3E3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年末全县</w:t>
      </w:r>
      <w:r w:rsidR="00ED2FA0" w:rsidRPr="0013481E">
        <w:rPr>
          <w:rFonts w:eastAsia="仿宋_GB2312"/>
          <w:sz w:val="32"/>
          <w:szCs w:val="32"/>
        </w:rPr>
        <w:t>营运</w:t>
      </w:r>
      <w:r w:rsidRPr="0013481E">
        <w:rPr>
          <w:rFonts w:eastAsia="仿宋_GB2312"/>
          <w:sz w:val="32"/>
          <w:szCs w:val="32"/>
        </w:rPr>
        <w:t>汽车拥有量达到</w:t>
      </w:r>
      <w:r w:rsidR="002858DF" w:rsidRPr="0013481E">
        <w:rPr>
          <w:rFonts w:eastAsia="仿宋_GB2312"/>
          <w:sz w:val="32"/>
          <w:szCs w:val="32"/>
        </w:rPr>
        <w:t>24554</w:t>
      </w:r>
      <w:r w:rsidRPr="0013481E">
        <w:rPr>
          <w:rFonts w:eastAsia="仿宋_GB2312"/>
          <w:sz w:val="32"/>
          <w:szCs w:val="32"/>
        </w:rPr>
        <w:t>辆，比去年同期增长</w:t>
      </w:r>
      <w:r w:rsidR="002858DF" w:rsidRPr="0013481E">
        <w:rPr>
          <w:rFonts w:eastAsia="仿宋_GB2312"/>
          <w:sz w:val="32"/>
          <w:szCs w:val="32"/>
        </w:rPr>
        <w:t>30.1</w:t>
      </w:r>
      <w:r w:rsidRPr="0013481E">
        <w:rPr>
          <w:rFonts w:eastAsia="仿宋_GB2312"/>
          <w:sz w:val="32"/>
          <w:szCs w:val="32"/>
        </w:rPr>
        <w:t>%</w:t>
      </w:r>
      <w:r w:rsidRPr="0013481E">
        <w:rPr>
          <w:rFonts w:eastAsia="仿宋_GB2312"/>
          <w:sz w:val="32"/>
          <w:szCs w:val="32"/>
        </w:rPr>
        <w:t>，其中</w:t>
      </w:r>
      <w:r w:rsidR="002858DF" w:rsidRPr="0013481E">
        <w:rPr>
          <w:rFonts w:eastAsia="仿宋_GB2312"/>
          <w:sz w:val="32"/>
          <w:szCs w:val="32"/>
        </w:rPr>
        <w:t>,</w:t>
      </w:r>
      <w:r w:rsidR="002858DF" w:rsidRPr="0013481E">
        <w:rPr>
          <w:rFonts w:eastAsia="仿宋_GB2312"/>
          <w:sz w:val="32"/>
          <w:szCs w:val="32"/>
        </w:rPr>
        <w:t>私人汽车</w:t>
      </w:r>
      <w:r w:rsidR="002858DF" w:rsidRPr="0013481E">
        <w:rPr>
          <w:rFonts w:eastAsia="仿宋_GB2312"/>
          <w:sz w:val="32"/>
          <w:szCs w:val="32"/>
        </w:rPr>
        <w:t>23655</w:t>
      </w:r>
      <w:r w:rsidR="002858DF" w:rsidRPr="0013481E">
        <w:rPr>
          <w:rFonts w:eastAsia="仿宋_GB2312"/>
          <w:sz w:val="32"/>
          <w:szCs w:val="32"/>
        </w:rPr>
        <w:t>辆，增长</w:t>
      </w:r>
      <w:r w:rsidR="002858DF" w:rsidRPr="0013481E">
        <w:rPr>
          <w:rFonts w:eastAsia="仿宋_GB2312"/>
          <w:sz w:val="32"/>
          <w:szCs w:val="32"/>
        </w:rPr>
        <w:t>33.4%</w:t>
      </w:r>
      <w:r w:rsidR="002858DF" w:rsidRPr="0013481E">
        <w:rPr>
          <w:rFonts w:eastAsia="仿宋_GB2312"/>
          <w:sz w:val="32"/>
          <w:szCs w:val="32"/>
        </w:rPr>
        <w:t>。民用轿车保有量</w:t>
      </w:r>
      <w:r w:rsidR="002858DF" w:rsidRPr="0013481E">
        <w:rPr>
          <w:rFonts w:eastAsia="仿宋_GB2312"/>
          <w:sz w:val="32"/>
          <w:szCs w:val="32"/>
        </w:rPr>
        <w:t>15693</w:t>
      </w:r>
      <w:r w:rsidR="002858DF" w:rsidRPr="0013481E">
        <w:rPr>
          <w:rFonts w:eastAsia="仿宋_GB2312"/>
          <w:sz w:val="32"/>
          <w:szCs w:val="32"/>
        </w:rPr>
        <w:t>辆，增长</w:t>
      </w:r>
      <w:r w:rsidR="002858DF" w:rsidRPr="0013481E">
        <w:rPr>
          <w:rFonts w:eastAsia="仿宋_GB2312"/>
          <w:sz w:val="32"/>
          <w:szCs w:val="32"/>
        </w:rPr>
        <w:t>31.1%</w:t>
      </w:r>
      <w:r w:rsidR="002858DF" w:rsidRPr="0013481E">
        <w:rPr>
          <w:rFonts w:eastAsia="仿宋_GB2312"/>
          <w:sz w:val="32"/>
          <w:szCs w:val="32"/>
        </w:rPr>
        <w:t>，其中私人轿车</w:t>
      </w:r>
      <w:r w:rsidR="002858DF" w:rsidRPr="0013481E">
        <w:rPr>
          <w:rFonts w:eastAsia="仿宋_GB2312"/>
          <w:sz w:val="32"/>
          <w:szCs w:val="32"/>
        </w:rPr>
        <w:t>15591</w:t>
      </w:r>
      <w:r w:rsidR="002858DF" w:rsidRPr="0013481E">
        <w:rPr>
          <w:rFonts w:eastAsia="仿宋_GB2312"/>
          <w:sz w:val="32"/>
          <w:szCs w:val="32"/>
        </w:rPr>
        <w:t>辆，增长</w:t>
      </w:r>
      <w:r w:rsidR="002858DF" w:rsidRPr="0013481E">
        <w:rPr>
          <w:rFonts w:eastAsia="仿宋_GB2312"/>
          <w:sz w:val="32"/>
          <w:szCs w:val="32"/>
        </w:rPr>
        <w:t>32.8%</w:t>
      </w:r>
      <w:r w:rsidR="002858DF" w:rsidRPr="0013481E">
        <w:rPr>
          <w:rFonts w:eastAsia="仿宋_GB2312"/>
          <w:sz w:val="32"/>
          <w:szCs w:val="32"/>
        </w:rPr>
        <w:t>。</w:t>
      </w:r>
    </w:p>
    <w:p w:rsidR="00567D96" w:rsidRPr="0013481E" w:rsidRDefault="0051212B" w:rsidP="00554432">
      <w:pPr>
        <w:spacing w:afterLines="50" w:line="540" w:lineRule="exact"/>
        <w:ind w:left="0" w:firstLineChars="200" w:firstLine="640"/>
        <w:rPr>
          <w:rFonts w:eastAsia="仿宋_GB2312"/>
          <w:sz w:val="32"/>
          <w:szCs w:val="32"/>
        </w:rPr>
      </w:pPr>
      <w:r w:rsidRPr="0013481E">
        <w:rPr>
          <w:rFonts w:eastAsia="仿宋_GB2312"/>
          <w:sz w:val="32"/>
          <w:szCs w:val="32"/>
        </w:rPr>
        <w:t>全年完成邮电业务总量</w:t>
      </w:r>
      <w:r w:rsidR="00CD08DD" w:rsidRPr="0013481E">
        <w:rPr>
          <w:rFonts w:eastAsia="仿宋_GB2312"/>
          <w:sz w:val="32"/>
          <w:szCs w:val="32"/>
        </w:rPr>
        <w:t>13384</w:t>
      </w:r>
      <w:r w:rsidR="00CD08DD" w:rsidRPr="0013481E">
        <w:rPr>
          <w:rFonts w:eastAsia="仿宋_GB2312"/>
          <w:sz w:val="32"/>
          <w:szCs w:val="32"/>
        </w:rPr>
        <w:t>万</w:t>
      </w:r>
      <w:r w:rsidRPr="0013481E">
        <w:rPr>
          <w:rFonts w:eastAsia="仿宋_GB2312"/>
          <w:sz w:val="32"/>
          <w:szCs w:val="32"/>
        </w:rPr>
        <w:t>元，增长</w:t>
      </w:r>
      <w:r w:rsidR="00CD08DD" w:rsidRPr="0013481E">
        <w:rPr>
          <w:rFonts w:eastAsia="仿宋_GB2312"/>
          <w:sz w:val="32"/>
          <w:szCs w:val="32"/>
        </w:rPr>
        <w:t>3.1</w:t>
      </w:r>
      <w:r w:rsidRPr="0013481E">
        <w:rPr>
          <w:rFonts w:eastAsia="仿宋_GB2312"/>
          <w:sz w:val="32"/>
          <w:szCs w:val="32"/>
        </w:rPr>
        <w:t>%</w:t>
      </w:r>
      <w:r w:rsidRPr="0013481E">
        <w:rPr>
          <w:rFonts w:eastAsia="仿宋_GB2312"/>
          <w:sz w:val="32"/>
          <w:szCs w:val="32"/>
        </w:rPr>
        <w:t>。其中，</w:t>
      </w:r>
      <w:r w:rsidR="00CD08DD" w:rsidRPr="0013481E">
        <w:rPr>
          <w:rFonts w:eastAsia="仿宋_GB2312"/>
          <w:sz w:val="32"/>
          <w:szCs w:val="32"/>
        </w:rPr>
        <w:t>移动</w:t>
      </w:r>
      <w:r w:rsidRPr="0013481E">
        <w:rPr>
          <w:rFonts w:eastAsia="仿宋_GB2312"/>
          <w:sz w:val="32"/>
          <w:szCs w:val="32"/>
        </w:rPr>
        <w:t>增长</w:t>
      </w:r>
      <w:r w:rsidR="00CD08DD" w:rsidRPr="0013481E">
        <w:rPr>
          <w:rFonts w:eastAsia="仿宋_GB2312"/>
          <w:sz w:val="32"/>
          <w:szCs w:val="32"/>
        </w:rPr>
        <w:t>6</w:t>
      </w:r>
      <w:r w:rsidRPr="0013481E">
        <w:rPr>
          <w:rFonts w:eastAsia="仿宋_GB2312"/>
          <w:sz w:val="32"/>
          <w:szCs w:val="32"/>
        </w:rPr>
        <w:t>%</w:t>
      </w:r>
      <w:r w:rsidR="00CD08DD" w:rsidRPr="0013481E">
        <w:rPr>
          <w:rFonts w:eastAsia="仿宋_GB2312"/>
          <w:sz w:val="32"/>
          <w:szCs w:val="32"/>
        </w:rPr>
        <w:t>，电信下降</w:t>
      </w:r>
      <w:r w:rsidR="00CD08DD" w:rsidRPr="0013481E">
        <w:rPr>
          <w:rFonts w:eastAsia="仿宋_GB2312"/>
          <w:sz w:val="32"/>
          <w:szCs w:val="32"/>
        </w:rPr>
        <w:t>6%</w:t>
      </w:r>
      <w:r w:rsidRPr="0013481E">
        <w:rPr>
          <w:rFonts w:eastAsia="仿宋_GB2312"/>
          <w:sz w:val="32"/>
          <w:szCs w:val="32"/>
        </w:rPr>
        <w:t>。年末固定电话用户</w:t>
      </w:r>
      <w:r w:rsidR="00CD08DD" w:rsidRPr="0013481E">
        <w:rPr>
          <w:rFonts w:eastAsia="仿宋_GB2312"/>
          <w:sz w:val="32"/>
          <w:szCs w:val="32"/>
        </w:rPr>
        <w:t>28826</w:t>
      </w:r>
      <w:r w:rsidRPr="0013481E">
        <w:rPr>
          <w:rFonts w:eastAsia="仿宋_GB2312"/>
          <w:sz w:val="32"/>
          <w:szCs w:val="32"/>
        </w:rPr>
        <w:t>户，</w:t>
      </w:r>
      <w:r w:rsidR="00CD08DD" w:rsidRPr="0013481E">
        <w:rPr>
          <w:rFonts w:eastAsia="仿宋_GB2312"/>
          <w:sz w:val="32"/>
          <w:szCs w:val="32"/>
        </w:rPr>
        <w:t>下降</w:t>
      </w:r>
      <w:r w:rsidR="00CD08DD" w:rsidRPr="0013481E">
        <w:rPr>
          <w:rFonts w:eastAsia="仿宋_GB2312"/>
          <w:sz w:val="32"/>
          <w:szCs w:val="32"/>
        </w:rPr>
        <w:t>3.7</w:t>
      </w:r>
      <w:r w:rsidRPr="0013481E">
        <w:rPr>
          <w:rFonts w:eastAsia="仿宋_GB2312"/>
          <w:sz w:val="32"/>
          <w:szCs w:val="32"/>
        </w:rPr>
        <w:t>%</w:t>
      </w:r>
      <w:r w:rsidRPr="0013481E">
        <w:rPr>
          <w:rFonts w:eastAsia="仿宋_GB2312"/>
          <w:sz w:val="32"/>
          <w:szCs w:val="32"/>
        </w:rPr>
        <w:t>；移动电话用户</w:t>
      </w:r>
      <w:r w:rsidR="001B23BE" w:rsidRPr="0013481E">
        <w:rPr>
          <w:rFonts w:eastAsia="仿宋_GB2312"/>
          <w:sz w:val="32"/>
          <w:szCs w:val="32"/>
        </w:rPr>
        <w:t>205501</w:t>
      </w:r>
      <w:r w:rsidRPr="0013481E">
        <w:rPr>
          <w:rFonts w:eastAsia="仿宋_GB2312"/>
          <w:sz w:val="32"/>
          <w:szCs w:val="32"/>
        </w:rPr>
        <w:t>户，增</w:t>
      </w:r>
      <w:r w:rsidR="001B23BE" w:rsidRPr="0013481E">
        <w:rPr>
          <w:rFonts w:eastAsia="仿宋_GB2312"/>
          <w:sz w:val="32"/>
          <w:szCs w:val="32"/>
        </w:rPr>
        <w:t>长</w:t>
      </w:r>
      <w:r w:rsidR="001B23BE" w:rsidRPr="0013481E">
        <w:rPr>
          <w:rFonts w:eastAsia="仿宋_GB2312"/>
          <w:sz w:val="32"/>
          <w:szCs w:val="32"/>
        </w:rPr>
        <w:t>18.6</w:t>
      </w:r>
      <w:r w:rsidRPr="0013481E">
        <w:rPr>
          <w:rFonts w:eastAsia="仿宋_GB2312"/>
          <w:sz w:val="32"/>
          <w:szCs w:val="32"/>
        </w:rPr>
        <w:t>%</w:t>
      </w:r>
      <w:r w:rsidR="00C53B44" w:rsidRPr="0013481E">
        <w:rPr>
          <w:rFonts w:eastAsia="仿宋_GB2312"/>
          <w:sz w:val="32"/>
          <w:szCs w:val="32"/>
        </w:rPr>
        <w:t>，其中</w:t>
      </w:r>
      <w:r w:rsidRPr="0013481E">
        <w:rPr>
          <w:rFonts w:eastAsia="仿宋_GB2312"/>
          <w:sz w:val="32"/>
          <w:szCs w:val="32"/>
        </w:rPr>
        <w:t>4G</w:t>
      </w:r>
      <w:r w:rsidRPr="0013481E">
        <w:rPr>
          <w:rFonts w:eastAsia="仿宋_GB2312"/>
          <w:sz w:val="32"/>
          <w:szCs w:val="32"/>
        </w:rPr>
        <w:t>用户</w:t>
      </w:r>
      <w:r w:rsidR="00C53B44" w:rsidRPr="0013481E">
        <w:rPr>
          <w:rFonts w:eastAsia="仿宋_GB2312"/>
          <w:sz w:val="32"/>
          <w:szCs w:val="32"/>
        </w:rPr>
        <w:t>113297</w:t>
      </w:r>
      <w:r w:rsidRPr="0013481E">
        <w:rPr>
          <w:rFonts w:eastAsia="仿宋_GB2312"/>
          <w:sz w:val="32"/>
          <w:szCs w:val="32"/>
        </w:rPr>
        <w:t>户，</w:t>
      </w:r>
      <w:r w:rsidR="00965BD2" w:rsidRPr="0013481E">
        <w:rPr>
          <w:rFonts w:eastAsia="仿宋_GB2312"/>
          <w:sz w:val="32"/>
          <w:szCs w:val="32"/>
        </w:rPr>
        <w:t>占移动电话用户比重达</w:t>
      </w:r>
      <w:r w:rsidR="00965BD2" w:rsidRPr="0013481E">
        <w:rPr>
          <w:rFonts w:eastAsia="仿宋_GB2312"/>
          <w:sz w:val="32"/>
          <w:szCs w:val="32"/>
        </w:rPr>
        <w:t>55.3%</w:t>
      </w:r>
      <w:r w:rsidRPr="0013481E">
        <w:rPr>
          <w:rFonts w:eastAsia="仿宋_GB2312"/>
          <w:sz w:val="32"/>
          <w:szCs w:val="32"/>
        </w:rPr>
        <w:t>。</w:t>
      </w:r>
      <w:r w:rsidR="00C53B44" w:rsidRPr="0013481E">
        <w:rPr>
          <w:rFonts w:eastAsia="仿宋_GB2312"/>
          <w:sz w:val="32"/>
          <w:szCs w:val="32"/>
        </w:rPr>
        <w:t>当年新增移动电话用户</w:t>
      </w:r>
      <w:r w:rsidR="00C53B44" w:rsidRPr="0013481E">
        <w:rPr>
          <w:rFonts w:eastAsia="仿宋_GB2312"/>
          <w:sz w:val="32"/>
          <w:szCs w:val="32"/>
        </w:rPr>
        <w:t>47039</w:t>
      </w:r>
      <w:r w:rsidR="00C53B44" w:rsidRPr="0013481E">
        <w:rPr>
          <w:rFonts w:eastAsia="仿宋_GB2312"/>
          <w:sz w:val="32"/>
          <w:szCs w:val="32"/>
        </w:rPr>
        <w:t>户，比上年增长</w:t>
      </w:r>
      <w:r w:rsidR="00C53B44" w:rsidRPr="0013481E">
        <w:rPr>
          <w:rFonts w:eastAsia="仿宋_GB2312"/>
          <w:sz w:val="32"/>
          <w:szCs w:val="32"/>
        </w:rPr>
        <w:t>730.6%</w:t>
      </w:r>
      <w:r w:rsidR="00965BD2" w:rsidRPr="0013481E">
        <w:rPr>
          <w:rFonts w:eastAsia="仿宋_GB2312"/>
          <w:sz w:val="32"/>
          <w:szCs w:val="32"/>
        </w:rPr>
        <w:t>，其中</w:t>
      </w:r>
      <w:r w:rsidR="00965BD2" w:rsidRPr="0013481E">
        <w:rPr>
          <w:rFonts w:eastAsia="仿宋_GB2312"/>
          <w:sz w:val="32"/>
          <w:szCs w:val="32"/>
        </w:rPr>
        <w:t>4G</w:t>
      </w:r>
      <w:r w:rsidR="00965BD2" w:rsidRPr="0013481E">
        <w:rPr>
          <w:rFonts w:eastAsia="仿宋_GB2312"/>
          <w:sz w:val="32"/>
          <w:szCs w:val="32"/>
        </w:rPr>
        <w:t>用户全年净增</w:t>
      </w:r>
      <w:r w:rsidR="00965BD2" w:rsidRPr="0013481E">
        <w:rPr>
          <w:rFonts w:eastAsia="仿宋_GB2312"/>
          <w:sz w:val="32"/>
          <w:szCs w:val="32"/>
        </w:rPr>
        <w:t>43506</w:t>
      </w:r>
      <w:r w:rsidR="00965BD2" w:rsidRPr="0013481E">
        <w:rPr>
          <w:rFonts w:eastAsia="仿宋_GB2312"/>
          <w:sz w:val="32"/>
          <w:szCs w:val="32"/>
        </w:rPr>
        <w:t>户</w:t>
      </w:r>
      <w:r w:rsidR="00C53B44" w:rsidRPr="0013481E">
        <w:rPr>
          <w:rFonts w:eastAsia="仿宋_GB2312"/>
          <w:sz w:val="32"/>
          <w:szCs w:val="32"/>
        </w:rPr>
        <w:t>。</w:t>
      </w:r>
      <w:r w:rsidRPr="0013481E">
        <w:rPr>
          <w:rFonts w:eastAsia="仿宋_GB2312"/>
          <w:sz w:val="32"/>
          <w:szCs w:val="32"/>
        </w:rPr>
        <w:t>年末互联网宽带用户</w:t>
      </w:r>
      <w:r w:rsidR="00C53B44" w:rsidRPr="0013481E">
        <w:rPr>
          <w:rFonts w:eastAsia="仿宋_GB2312"/>
          <w:sz w:val="32"/>
          <w:szCs w:val="32"/>
        </w:rPr>
        <w:t>56083</w:t>
      </w:r>
      <w:r w:rsidRPr="0013481E">
        <w:rPr>
          <w:rFonts w:eastAsia="仿宋_GB2312"/>
          <w:sz w:val="32"/>
          <w:szCs w:val="32"/>
        </w:rPr>
        <w:t>户，</w:t>
      </w:r>
      <w:r w:rsidR="00C53B44" w:rsidRPr="0013481E">
        <w:rPr>
          <w:rFonts w:eastAsia="仿宋_GB2312"/>
          <w:sz w:val="32"/>
          <w:szCs w:val="32"/>
        </w:rPr>
        <w:t>比上年增长</w:t>
      </w:r>
      <w:r w:rsidR="00C53B44" w:rsidRPr="0013481E">
        <w:rPr>
          <w:rFonts w:eastAsia="仿宋_GB2312"/>
          <w:sz w:val="32"/>
          <w:szCs w:val="32"/>
        </w:rPr>
        <w:t>36.3</w:t>
      </w:r>
      <w:r w:rsidRPr="0013481E">
        <w:rPr>
          <w:rFonts w:eastAsia="仿宋_GB2312"/>
          <w:sz w:val="32"/>
          <w:szCs w:val="32"/>
        </w:rPr>
        <w:t>%</w:t>
      </w:r>
      <w:r w:rsidR="00C53B44" w:rsidRPr="0013481E">
        <w:rPr>
          <w:rFonts w:eastAsia="仿宋_GB2312"/>
          <w:sz w:val="32"/>
          <w:szCs w:val="32"/>
        </w:rPr>
        <w:t>。</w:t>
      </w:r>
    </w:p>
    <w:p w:rsidR="004F027A"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六、国内贸易</w:t>
      </w:r>
    </w:p>
    <w:p w:rsidR="001513F8" w:rsidRPr="0013481E" w:rsidRDefault="001513F8" w:rsidP="00554432">
      <w:pPr>
        <w:spacing w:afterLines="50" w:line="540" w:lineRule="exact"/>
        <w:ind w:left="0" w:firstLineChars="200" w:firstLine="640"/>
        <w:rPr>
          <w:rFonts w:eastAsia="黑体"/>
          <w:sz w:val="32"/>
          <w:szCs w:val="32"/>
        </w:rPr>
      </w:pPr>
      <w:r w:rsidRPr="0013481E">
        <w:rPr>
          <w:rFonts w:eastAsia="仿宋_GB2312"/>
          <w:sz w:val="32"/>
          <w:szCs w:val="32"/>
        </w:rPr>
        <w:t>全年社会消费品零售总额达</w:t>
      </w:r>
      <w:r w:rsidRPr="0013481E">
        <w:rPr>
          <w:rFonts w:eastAsia="仿宋_GB2312"/>
          <w:sz w:val="32"/>
          <w:szCs w:val="32"/>
        </w:rPr>
        <w:t>408089.6</w:t>
      </w:r>
      <w:r w:rsidRPr="0013481E">
        <w:rPr>
          <w:rFonts w:eastAsia="仿宋_GB2312"/>
          <w:sz w:val="32"/>
          <w:szCs w:val="32"/>
        </w:rPr>
        <w:t>万元，</w:t>
      </w:r>
      <w:r w:rsidRPr="0013481E">
        <w:rPr>
          <w:rFonts w:eastAsia="仿宋_GB2312"/>
          <w:sz w:val="32"/>
          <w:szCs w:val="32"/>
        </w:rPr>
        <w:t xml:space="preserve"> </w:t>
      </w:r>
      <w:r w:rsidRPr="0013481E">
        <w:rPr>
          <w:rFonts w:eastAsia="仿宋_GB2312"/>
          <w:sz w:val="32"/>
          <w:szCs w:val="32"/>
        </w:rPr>
        <w:t>比上年增长</w:t>
      </w:r>
      <w:r w:rsidRPr="0013481E">
        <w:rPr>
          <w:rFonts w:eastAsia="仿宋_GB2312"/>
          <w:sz w:val="32"/>
          <w:szCs w:val="32"/>
        </w:rPr>
        <w:t>9.78%</w:t>
      </w:r>
      <w:r w:rsidRPr="0013481E">
        <w:rPr>
          <w:rFonts w:eastAsia="仿宋_GB2312"/>
          <w:sz w:val="32"/>
          <w:szCs w:val="32"/>
        </w:rPr>
        <w:t>，从分行业看：批发零售贸易业消费品零售额</w:t>
      </w:r>
      <w:r w:rsidRPr="0013481E">
        <w:rPr>
          <w:rFonts w:eastAsia="仿宋_GB2312"/>
          <w:sz w:val="32"/>
          <w:szCs w:val="32"/>
        </w:rPr>
        <w:t>379777.1</w:t>
      </w:r>
      <w:r w:rsidRPr="0013481E">
        <w:rPr>
          <w:rFonts w:eastAsia="仿宋_GB2312"/>
          <w:sz w:val="32"/>
          <w:szCs w:val="32"/>
        </w:rPr>
        <w:t>万元，比上年增长</w:t>
      </w:r>
      <w:r w:rsidRPr="0013481E">
        <w:rPr>
          <w:rFonts w:eastAsia="仿宋_GB2312"/>
          <w:sz w:val="32"/>
          <w:szCs w:val="32"/>
        </w:rPr>
        <w:t>9.5%</w:t>
      </w:r>
      <w:r w:rsidRPr="0013481E">
        <w:rPr>
          <w:rFonts w:eastAsia="仿宋_GB2312"/>
          <w:sz w:val="32"/>
          <w:szCs w:val="32"/>
        </w:rPr>
        <w:t>；住宿和餐饮业消费品零售额</w:t>
      </w:r>
      <w:r w:rsidRPr="0013481E">
        <w:rPr>
          <w:rFonts w:eastAsia="仿宋_GB2312"/>
          <w:sz w:val="32"/>
          <w:szCs w:val="32"/>
        </w:rPr>
        <w:t>28312.5</w:t>
      </w:r>
      <w:r w:rsidRPr="0013481E">
        <w:rPr>
          <w:rFonts w:eastAsia="仿宋_GB2312"/>
          <w:sz w:val="32"/>
          <w:szCs w:val="32"/>
        </w:rPr>
        <w:t>万元，比上年增长</w:t>
      </w:r>
      <w:r w:rsidRPr="0013481E">
        <w:rPr>
          <w:rFonts w:eastAsia="仿宋_GB2312"/>
          <w:sz w:val="32"/>
          <w:szCs w:val="32"/>
        </w:rPr>
        <w:t>13.7%</w:t>
      </w:r>
      <w:r w:rsidRPr="0013481E">
        <w:rPr>
          <w:rFonts w:eastAsia="仿宋_GB2312"/>
          <w:sz w:val="32"/>
          <w:szCs w:val="32"/>
        </w:rPr>
        <w:t>。按城乡分：城镇消费品零售额</w:t>
      </w:r>
      <w:r w:rsidRPr="0013481E">
        <w:rPr>
          <w:rFonts w:eastAsia="仿宋_GB2312"/>
          <w:sz w:val="32"/>
          <w:szCs w:val="32"/>
        </w:rPr>
        <w:t>288685.7</w:t>
      </w:r>
      <w:r w:rsidRPr="0013481E">
        <w:rPr>
          <w:rFonts w:eastAsia="仿宋_GB2312"/>
          <w:sz w:val="32"/>
          <w:szCs w:val="32"/>
        </w:rPr>
        <w:t>万元，比上年增长</w:t>
      </w:r>
      <w:r w:rsidRPr="0013481E">
        <w:rPr>
          <w:rFonts w:eastAsia="仿宋_GB2312"/>
          <w:sz w:val="32"/>
          <w:szCs w:val="32"/>
        </w:rPr>
        <w:t>10.2%</w:t>
      </w:r>
      <w:r w:rsidRPr="0013481E">
        <w:rPr>
          <w:rFonts w:eastAsia="仿宋_GB2312"/>
          <w:sz w:val="32"/>
          <w:szCs w:val="32"/>
        </w:rPr>
        <w:t>；乡村消费品零售额</w:t>
      </w:r>
      <w:r w:rsidRPr="0013481E">
        <w:rPr>
          <w:rFonts w:eastAsia="仿宋_GB2312"/>
          <w:sz w:val="32"/>
          <w:szCs w:val="32"/>
        </w:rPr>
        <w:t>119403.9</w:t>
      </w:r>
      <w:r w:rsidRPr="0013481E">
        <w:rPr>
          <w:rFonts w:eastAsia="仿宋_GB2312"/>
          <w:sz w:val="32"/>
          <w:szCs w:val="32"/>
        </w:rPr>
        <w:t>万元，比上年增长</w:t>
      </w:r>
      <w:r w:rsidRPr="0013481E">
        <w:rPr>
          <w:rFonts w:eastAsia="仿宋_GB2312"/>
          <w:sz w:val="32"/>
          <w:szCs w:val="32"/>
        </w:rPr>
        <w:t>8.8%</w:t>
      </w:r>
      <w:r w:rsidRPr="0013481E">
        <w:rPr>
          <w:rFonts w:eastAsia="仿宋_GB2312"/>
          <w:sz w:val="32"/>
          <w:szCs w:val="32"/>
        </w:rPr>
        <w:t>。</w:t>
      </w:r>
    </w:p>
    <w:p w:rsidR="00401945" w:rsidRPr="0013481E" w:rsidRDefault="004F027A" w:rsidP="00554432">
      <w:pPr>
        <w:spacing w:afterLines="50" w:line="540" w:lineRule="exact"/>
        <w:ind w:left="0" w:firstLineChars="200" w:firstLine="640"/>
        <w:rPr>
          <w:rFonts w:eastAsia="仿宋_GB2312"/>
          <w:sz w:val="32"/>
          <w:szCs w:val="32"/>
        </w:rPr>
      </w:pPr>
      <w:r w:rsidRPr="0013481E">
        <w:rPr>
          <w:rFonts w:eastAsia="仿宋_GB2312"/>
          <w:noProof/>
          <w:sz w:val="32"/>
          <w:szCs w:val="32"/>
        </w:rPr>
        <w:lastRenderedPageBreak/>
        <w:drawing>
          <wp:anchor distT="0" distB="0" distL="114300" distR="114300" simplePos="0" relativeHeight="251668480" behindDoc="0" locked="0" layoutInCell="1" allowOverlap="1">
            <wp:simplePos x="0" y="0"/>
            <wp:positionH relativeFrom="column">
              <wp:posOffset>-80645</wp:posOffset>
            </wp:positionH>
            <wp:positionV relativeFrom="paragraph">
              <wp:posOffset>28575</wp:posOffset>
            </wp:positionV>
            <wp:extent cx="5762625" cy="2724150"/>
            <wp:effectExtent l="0" t="0" r="0" b="0"/>
            <wp:wrapTopAndBottom/>
            <wp:docPr id="19"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A3E3F"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七、对外经济和旅游业</w:t>
      </w:r>
    </w:p>
    <w:p w:rsidR="00FA3E3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全年外贸</w:t>
      </w:r>
      <w:r w:rsidR="0042168F" w:rsidRPr="0013481E">
        <w:rPr>
          <w:rFonts w:eastAsia="仿宋_GB2312"/>
          <w:sz w:val="32"/>
          <w:szCs w:val="32"/>
        </w:rPr>
        <w:t>进</w:t>
      </w:r>
      <w:r w:rsidRPr="0013481E">
        <w:rPr>
          <w:rFonts w:eastAsia="仿宋_GB2312"/>
          <w:sz w:val="32"/>
          <w:szCs w:val="32"/>
        </w:rPr>
        <w:t>出口总额</w:t>
      </w:r>
      <w:r w:rsidR="00796D84" w:rsidRPr="0013481E">
        <w:rPr>
          <w:rFonts w:eastAsia="仿宋_GB2312"/>
          <w:sz w:val="32"/>
          <w:szCs w:val="32"/>
        </w:rPr>
        <w:t>2856</w:t>
      </w:r>
      <w:r w:rsidRPr="0013481E">
        <w:rPr>
          <w:rFonts w:eastAsia="仿宋_GB2312"/>
          <w:sz w:val="32"/>
          <w:szCs w:val="32"/>
        </w:rPr>
        <w:t>万美元，比上年</w:t>
      </w:r>
      <w:r w:rsidR="00796D84" w:rsidRPr="0013481E">
        <w:rPr>
          <w:rFonts w:eastAsia="仿宋_GB2312"/>
          <w:sz w:val="32"/>
          <w:szCs w:val="32"/>
        </w:rPr>
        <w:t>下降</w:t>
      </w:r>
      <w:r w:rsidR="00796D84" w:rsidRPr="0013481E">
        <w:rPr>
          <w:rFonts w:eastAsia="仿宋_GB2312"/>
          <w:sz w:val="32"/>
          <w:szCs w:val="32"/>
        </w:rPr>
        <w:t>40.2</w:t>
      </w:r>
      <w:r w:rsidRPr="0013481E">
        <w:rPr>
          <w:rFonts w:eastAsia="仿宋_GB2312"/>
          <w:sz w:val="32"/>
          <w:szCs w:val="32"/>
        </w:rPr>
        <w:t>%</w:t>
      </w:r>
      <w:r w:rsidR="0042168F" w:rsidRPr="0013481E">
        <w:rPr>
          <w:rFonts w:eastAsia="仿宋_GB2312"/>
          <w:sz w:val="32"/>
          <w:szCs w:val="32"/>
        </w:rPr>
        <w:t>，其中贸易出口总额</w:t>
      </w:r>
      <w:r w:rsidR="00796D84" w:rsidRPr="0013481E">
        <w:rPr>
          <w:rFonts w:eastAsia="仿宋_GB2312"/>
          <w:sz w:val="32"/>
          <w:szCs w:val="32"/>
        </w:rPr>
        <w:t>2853</w:t>
      </w:r>
      <w:r w:rsidR="0042168F" w:rsidRPr="0013481E">
        <w:rPr>
          <w:rFonts w:eastAsia="仿宋_GB2312"/>
          <w:sz w:val="32"/>
          <w:szCs w:val="32"/>
        </w:rPr>
        <w:t>万美元，比上年</w:t>
      </w:r>
      <w:r w:rsidR="00796D84" w:rsidRPr="0013481E">
        <w:rPr>
          <w:rFonts w:eastAsia="仿宋_GB2312"/>
          <w:sz w:val="32"/>
          <w:szCs w:val="32"/>
        </w:rPr>
        <w:t>下降</w:t>
      </w:r>
      <w:r w:rsidR="00796D84" w:rsidRPr="0013481E">
        <w:rPr>
          <w:rFonts w:eastAsia="仿宋_GB2312"/>
          <w:sz w:val="32"/>
          <w:szCs w:val="32"/>
        </w:rPr>
        <w:t>40.1</w:t>
      </w:r>
      <w:r w:rsidR="0042168F" w:rsidRPr="0013481E">
        <w:rPr>
          <w:rFonts w:eastAsia="仿宋_GB2312"/>
          <w:sz w:val="32"/>
          <w:szCs w:val="32"/>
        </w:rPr>
        <w:t>%</w:t>
      </w:r>
      <w:r w:rsidRPr="0013481E">
        <w:rPr>
          <w:rFonts w:eastAsia="仿宋_GB2312"/>
          <w:sz w:val="32"/>
          <w:szCs w:val="32"/>
        </w:rPr>
        <w:t>。全年实际利用外资</w:t>
      </w:r>
      <w:r w:rsidR="00796D84" w:rsidRPr="0013481E">
        <w:rPr>
          <w:rFonts w:eastAsia="仿宋_GB2312"/>
          <w:sz w:val="32"/>
          <w:szCs w:val="32"/>
        </w:rPr>
        <w:t>351</w:t>
      </w:r>
      <w:r w:rsidRPr="0013481E">
        <w:rPr>
          <w:rFonts w:eastAsia="仿宋_GB2312"/>
          <w:sz w:val="32"/>
          <w:szCs w:val="32"/>
        </w:rPr>
        <w:t>万美元，比上年</w:t>
      </w:r>
      <w:r w:rsidR="0042168F" w:rsidRPr="0013481E">
        <w:rPr>
          <w:rFonts w:eastAsia="仿宋_GB2312"/>
          <w:sz w:val="32"/>
          <w:szCs w:val="32"/>
        </w:rPr>
        <w:t>下降</w:t>
      </w:r>
      <w:r w:rsidR="00796D84" w:rsidRPr="0013481E">
        <w:rPr>
          <w:rFonts w:eastAsia="仿宋_GB2312"/>
          <w:sz w:val="32"/>
          <w:szCs w:val="32"/>
        </w:rPr>
        <w:t>19.1</w:t>
      </w:r>
      <w:r w:rsidRPr="0013481E">
        <w:rPr>
          <w:rFonts w:eastAsia="仿宋_GB2312"/>
          <w:sz w:val="32"/>
          <w:szCs w:val="32"/>
        </w:rPr>
        <w:t>%</w:t>
      </w:r>
      <w:r w:rsidRPr="0013481E">
        <w:rPr>
          <w:rFonts w:eastAsia="仿宋_GB2312"/>
          <w:sz w:val="32"/>
          <w:szCs w:val="32"/>
        </w:rPr>
        <w:t>。</w:t>
      </w:r>
      <w:r w:rsidRPr="0013481E">
        <w:rPr>
          <w:rFonts w:eastAsia="仿宋_GB2312"/>
          <w:color w:val="auto"/>
          <w:sz w:val="32"/>
          <w:szCs w:val="32"/>
        </w:rPr>
        <w:t>至年底止，全县</w:t>
      </w:r>
      <w:r w:rsidRPr="0013481E">
        <w:rPr>
          <w:rFonts w:eastAsia="仿宋_GB2312"/>
          <w:color w:val="auto"/>
          <w:sz w:val="32"/>
          <w:szCs w:val="32"/>
        </w:rPr>
        <w:t>“</w:t>
      </w:r>
      <w:r w:rsidRPr="0013481E">
        <w:rPr>
          <w:rFonts w:eastAsia="仿宋_GB2312"/>
          <w:color w:val="auto"/>
          <w:sz w:val="32"/>
          <w:szCs w:val="32"/>
        </w:rPr>
        <w:t>三资</w:t>
      </w:r>
      <w:r w:rsidRPr="0013481E">
        <w:rPr>
          <w:rFonts w:eastAsia="仿宋_GB2312"/>
          <w:color w:val="auto"/>
          <w:sz w:val="32"/>
          <w:szCs w:val="32"/>
        </w:rPr>
        <w:t>”</w:t>
      </w:r>
      <w:r w:rsidRPr="0013481E">
        <w:rPr>
          <w:rFonts w:eastAsia="仿宋_GB2312"/>
          <w:color w:val="auto"/>
          <w:sz w:val="32"/>
          <w:szCs w:val="32"/>
        </w:rPr>
        <w:t>企业实现营业收入</w:t>
      </w:r>
      <w:r w:rsidR="006B5509" w:rsidRPr="0013481E">
        <w:rPr>
          <w:rFonts w:eastAsia="仿宋_GB2312"/>
          <w:color w:val="auto"/>
          <w:sz w:val="32"/>
          <w:szCs w:val="32"/>
        </w:rPr>
        <w:t>31376.9</w:t>
      </w:r>
      <w:r w:rsidRPr="0013481E">
        <w:rPr>
          <w:rFonts w:eastAsia="仿宋_GB2312"/>
          <w:color w:val="auto"/>
          <w:sz w:val="32"/>
          <w:szCs w:val="32"/>
        </w:rPr>
        <w:t>万元，利润总额</w:t>
      </w:r>
      <w:r w:rsidR="006B5509" w:rsidRPr="0013481E">
        <w:rPr>
          <w:rFonts w:eastAsia="仿宋_GB2312"/>
          <w:color w:val="auto"/>
          <w:sz w:val="32"/>
          <w:szCs w:val="32"/>
        </w:rPr>
        <w:t>4244</w:t>
      </w:r>
      <w:r w:rsidRPr="0013481E">
        <w:rPr>
          <w:rFonts w:eastAsia="仿宋_GB2312"/>
          <w:color w:val="auto"/>
          <w:sz w:val="32"/>
          <w:szCs w:val="32"/>
        </w:rPr>
        <w:t>万元。</w:t>
      </w:r>
    </w:p>
    <w:p w:rsidR="001E6FB1"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全县接待国内外游客</w:t>
      </w:r>
      <w:r w:rsidR="00796D84" w:rsidRPr="0013481E">
        <w:rPr>
          <w:rFonts w:eastAsia="仿宋_GB2312"/>
          <w:sz w:val="32"/>
          <w:szCs w:val="32"/>
        </w:rPr>
        <w:t>423.8</w:t>
      </w:r>
      <w:r w:rsidRPr="0013481E">
        <w:rPr>
          <w:rFonts w:eastAsia="仿宋_GB2312"/>
          <w:sz w:val="32"/>
          <w:szCs w:val="32"/>
        </w:rPr>
        <w:t>万人</w:t>
      </w:r>
      <w:r w:rsidR="000A3698" w:rsidRPr="0013481E">
        <w:rPr>
          <w:rFonts w:eastAsia="仿宋_GB2312"/>
          <w:sz w:val="32"/>
          <w:szCs w:val="32"/>
        </w:rPr>
        <w:t>次</w:t>
      </w:r>
      <w:r w:rsidRPr="0013481E">
        <w:rPr>
          <w:rFonts w:eastAsia="仿宋_GB2312"/>
          <w:sz w:val="32"/>
          <w:szCs w:val="32"/>
        </w:rPr>
        <w:t>，比</w:t>
      </w:r>
      <w:r w:rsidR="00796D84" w:rsidRPr="0013481E">
        <w:rPr>
          <w:rFonts w:eastAsia="仿宋_GB2312"/>
          <w:sz w:val="32"/>
          <w:szCs w:val="32"/>
        </w:rPr>
        <w:t>上年增长</w:t>
      </w:r>
      <w:r w:rsidR="00796D84" w:rsidRPr="0013481E">
        <w:rPr>
          <w:rFonts w:eastAsia="仿宋_GB2312"/>
          <w:sz w:val="32"/>
          <w:szCs w:val="32"/>
        </w:rPr>
        <w:t>12.08</w:t>
      </w:r>
      <w:r w:rsidRPr="0013481E">
        <w:rPr>
          <w:rFonts w:eastAsia="仿宋_GB2312"/>
          <w:sz w:val="32"/>
          <w:szCs w:val="32"/>
        </w:rPr>
        <w:t>%</w:t>
      </w:r>
      <w:r w:rsidRPr="0013481E">
        <w:rPr>
          <w:rFonts w:eastAsia="仿宋_GB2312"/>
          <w:sz w:val="32"/>
          <w:szCs w:val="32"/>
        </w:rPr>
        <w:t>，其中接待国内游客</w:t>
      </w:r>
      <w:r w:rsidR="00796D84" w:rsidRPr="0013481E">
        <w:rPr>
          <w:rFonts w:eastAsia="仿宋_GB2312"/>
          <w:sz w:val="32"/>
          <w:szCs w:val="32"/>
        </w:rPr>
        <w:t>417.7</w:t>
      </w:r>
      <w:r w:rsidRPr="0013481E">
        <w:rPr>
          <w:rFonts w:eastAsia="仿宋_GB2312"/>
          <w:sz w:val="32"/>
          <w:szCs w:val="32"/>
        </w:rPr>
        <w:t>万人</w:t>
      </w:r>
      <w:r w:rsidR="000A3698" w:rsidRPr="0013481E">
        <w:rPr>
          <w:rFonts w:eastAsia="仿宋_GB2312"/>
          <w:sz w:val="32"/>
          <w:szCs w:val="32"/>
        </w:rPr>
        <w:t>次</w:t>
      </w:r>
      <w:r w:rsidR="00796D84" w:rsidRPr="0013481E">
        <w:rPr>
          <w:rFonts w:eastAsia="仿宋_GB2312"/>
          <w:sz w:val="32"/>
          <w:szCs w:val="32"/>
        </w:rPr>
        <w:t>，增长</w:t>
      </w:r>
      <w:r w:rsidR="00796D84" w:rsidRPr="0013481E">
        <w:rPr>
          <w:rFonts w:eastAsia="仿宋_GB2312"/>
          <w:sz w:val="32"/>
          <w:szCs w:val="32"/>
        </w:rPr>
        <w:t>12.2</w:t>
      </w:r>
      <w:r w:rsidRPr="0013481E">
        <w:rPr>
          <w:rFonts w:eastAsia="仿宋_GB2312"/>
          <w:sz w:val="32"/>
          <w:szCs w:val="32"/>
        </w:rPr>
        <w:t>%</w:t>
      </w:r>
      <w:r w:rsidRPr="0013481E">
        <w:rPr>
          <w:rFonts w:eastAsia="仿宋_GB2312"/>
          <w:sz w:val="32"/>
          <w:szCs w:val="32"/>
        </w:rPr>
        <w:t>。全年旅游总收入</w:t>
      </w:r>
      <w:r w:rsidR="00796D84" w:rsidRPr="0013481E">
        <w:rPr>
          <w:rFonts w:eastAsia="仿宋_GB2312"/>
          <w:sz w:val="32"/>
          <w:szCs w:val="32"/>
        </w:rPr>
        <w:t>331835.53</w:t>
      </w:r>
      <w:r w:rsidRPr="0013481E">
        <w:rPr>
          <w:rFonts w:eastAsia="仿宋_GB2312"/>
          <w:sz w:val="32"/>
          <w:szCs w:val="32"/>
        </w:rPr>
        <w:t>万元，比上年增长</w:t>
      </w:r>
      <w:r w:rsidR="00796D84" w:rsidRPr="0013481E">
        <w:rPr>
          <w:rFonts w:eastAsia="仿宋_GB2312"/>
          <w:sz w:val="32"/>
          <w:szCs w:val="32"/>
        </w:rPr>
        <w:t>13.04</w:t>
      </w:r>
      <w:r w:rsidRPr="0013481E">
        <w:rPr>
          <w:rFonts w:eastAsia="仿宋_GB2312"/>
          <w:sz w:val="32"/>
          <w:szCs w:val="32"/>
        </w:rPr>
        <w:t>%</w:t>
      </w:r>
      <w:r w:rsidRPr="0013481E">
        <w:rPr>
          <w:rFonts w:eastAsia="仿宋_GB2312"/>
          <w:sz w:val="32"/>
          <w:szCs w:val="32"/>
        </w:rPr>
        <w:t>。</w:t>
      </w:r>
    </w:p>
    <w:p w:rsidR="00FA3E3F" w:rsidRPr="0013481E" w:rsidRDefault="00FA3E3F" w:rsidP="00554432">
      <w:pPr>
        <w:spacing w:afterLines="50" w:line="540" w:lineRule="exact"/>
        <w:ind w:left="0" w:firstLineChars="200" w:firstLine="640"/>
        <w:rPr>
          <w:rFonts w:eastAsia="黑体"/>
          <w:sz w:val="32"/>
          <w:szCs w:val="32"/>
        </w:rPr>
      </w:pPr>
      <w:r w:rsidRPr="0013481E">
        <w:rPr>
          <w:rFonts w:eastAsia="黑体" w:hAnsi="黑体"/>
          <w:sz w:val="32"/>
          <w:szCs w:val="32"/>
        </w:rPr>
        <w:t>八、金融</w:t>
      </w:r>
    </w:p>
    <w:p w:rsidR="001513F8" w:rsidRPr="0013481E" w:rsidRDefault="001513F8" w:rsidP="00554432">
      <w:pPr>
        <w:spacing w:afterLines="50" w:line="540" w:lineRule="exact"/>
        <w:ind w:left="0" w:firstLineChars="200" w:firstLine="640"/>
        <w:rPr>
          <w:rFonts w:eastAsia="仿宋_GB2312"/>
          <w:sz w:val="32"/>
          <w:szCs w:val="32"/>
        </w:rPr>
      </w:pPr>
      <w:r w:rsidRPr="0013481E">
        <w:rPr>
          <w:rFonts w:eastAsia="仿宋_GB2312"/>
          <w:sz w:val="32"/>
          <w:szCs w:val="32"/>
        </w:rPr>
        <w:t>全县金融业增加值</w:t>
      </w:r>
      <w:r w:rsidRPr="0013481E">
        <w:rPr>
          <w:rFonts w:eastAsia="仿宋_GB2312"/>
          <w:sz w:val="32"/>
          <w:szCs w:val="32"/>
        </w:rPr>
        <w:t>36919</w:t>
      </w:r>
      <w:r w:rsidRPr="0013481E">
        <w:rPr>
          <w:rFonts w:eastAsia="仿宋_GB2312"/>
          <w:sz w:val="32"/>
          <w:szCs w:val="32"/>
        </w:rPr>
        <w:t>万元，增长</w:t>
      </w:r>
      <w:r w:rsidRPr="0013481E">
        <w:rPr>
          <w:rFonts w:eastAsia="仿宋_GB2312"/>
          <w:sz w:val="32"/>
          <w:szCs w:val="32"/>
        </w:rPr>
        <w:t>2.5%</w:t>
      </w:r>
      <w:r w:rsidRPr="0013481E">
        <w:rPr>
          <w:rFonts w:eastAsia="仿宋_GB2312"/>
          <w:sz w:val="32"/>
          <w:szCs w:val="32"/>
        </w:rPr>
        <w:t>。年末全县金融机构本外币存款余额</w:t>
      </w:r>
      <w:r w:rsidRPr="0013481E">
        <w:rPr>
          <w:rFonts w:eastAsia="仿宋_GB2312"/>
          <w:sz w:val="32"/>
          <w:szCs w:val="32"/>
        </w:rPr>
        <w:t>934072</w:t>
      </w:r>
      <w:r w:rsidRPr="0013481E">
        <w:rPr>
          <w:rFonts w:eastAsia="仿宋_GB2312"/>
          <w:sz w:val="32"/>
          <w:szCs w:val="32"/>
        </w:rPr>
        <w:t>万元，比上年末增长</w:t>
      </w:r>
      <w:r w:rsidRPr="0013481E">
        <w:rPr>
          <w:rFonts w:eastAsia="仿宋_GB2312"/>
          <w:sz w:val="32"/>
          <w:szCs w:val="32"/>
        </w:rPr>
        <w:t>9.58%</w:t>
      </w:r>
      <w:r w:rsidRPr="0013481E">
        <w:rPr>
          <w:rFonts w:eastAsia="仿宋_GB2312"/>
          <w:sz w:val="32"/>
          <w:szCs w:val="32"/>
        </w:rPr>
        <w:t>，其中住户储蓄存款余额</w:t>
      </w:r>
      <w:r w:rsidRPr="0013481E">
        <w:rPr>
          <w:rFonts w:eastAsia="仿宋_GB2312"/>
          <w:sz w:val="32"/>
          <w:szCs w:val="32"/>
        </w:rPr>
        <w:t>621570</w:t>
      </w:r>
      <w:r w:rsidRPr="0013481E">
        <w:rPr>
          <w:rFonts w:eastAsia="仿宋_GB2312"/>
          <w:sz w:val="32"/>
          <w:szCs w:val="32"/>
        </w:rPr>
        <w:t>万元，增长</w:t>
      </w:r>
      <w:r w:rsidRPr="0013481E">
        <w:rPr>
          <w:rFonts w:eastAsia="仿宋_GB2312"/>
          <w:sz w:val="32"/>
          <w:szCs w:val="32"/>
        </w:rPr>
        <w:t>7.38%</w:t>
      </w:r>
      <w:r w:rsidRPr="0013481E">
        <w:rPr>
          <w:rFonts w:eastAsia="仿宋_GB2312"/>
          <w:sz w:val="32"/>
          <w:szCs w:val="32"/>
        </w:rPr>
        <w:t>。金融机构本外币贷款余额</w:t>
      </w:r>
      <w:r w:rsidRPr="0013481E">
        <w:rPr>
          <w:rFonts w:eastAsia="仿宋_GB2312"/>
          <w:sz w:val="32"/>
          <w:szCs w:val="32"/>
        </w:rPr>
        <w:t>361891</w:t>
      </w:r>
      <w:r w:rsidRPr="0013481E">
        <w:rPr>
          <w:rFonts w:eastAsia="仿宋_GB2312"/>
          <w:sz w:val="32"/>
          <w:szCs w:val="32"/>
        </w:rPr>
        <w:t>万元，比上年末下降</w:t>
      </w:r>
      <w:r w:rsidRPr="0013481E">
        <w:rPr>
          <w:rFonts w:eastAsia="仿宋_GB2312"/>
          <w:sz w:val="32"/>
          <w:szCs w:val="32"/>
        </w:rPr>
        <w:t>2.32%</w:t>
      </w:r>
      <w:r w:rsidRPr="0013481E">
        <w:rPr>
          <w:rFonts w:eastAsia="仿宋_GB2312"/>
          <w:sz w:val="32"/>
          <w:szCs w:val="32"/>
        </w:rPr>
        <w:t>。</w:t>
      </w:r>
      <w:r w:rsidR="00F31DF1" w:rsidRPr="0013481E">
        <w:rPr>
          <w:rFonts w:eastAsia="仿宋_GB2312"/>
          <w:sz w:val="32"/>
          <w:szCs w:val="32"/>
        </w:rPr>
        <w:t>年末银行业金融机构不良贷款率为</w:t>
      </w:r>
      <w:r w:rsidR="00F31DF1" w:rsidRPr="0013481E">
        <w:rPr>
          <w:rFonts w:eastAsia="仿宋_GB2312"/>
          <w:sz w:val="32"/>
          <w:szCs w:val="32"/>
        </w:rPr>
        <w:t>1.05%,</w:t>
      </w:r>
      <w:r w:rsidR="00F31DF1" w:rsidRPr="0013481E">
        <w:rPr>
          <w:rFonts w:eastAsia="仿宋_GB2312"/>
          <w:sz w:val="32"/>
          <w:szCs w:val="32"/>
        </w:rPr>
        <w:t>比上年下降</w:t>
      </w:r>
      <w:r w:rsidR="00F31DF1" w:rsidRPr="0013481E">
        <w:rPr>
          <w:rFonts w:eastAsia="仿宋_GB2312"/>
          <w:sz w:val="32"/>
          <w:szCs w:val="32"/>
        </w:rPr>
        <w:t>0.08</w:t>
      </w:r>
      <w:r w:rsidR="00F31DF1" w:rsidRPr="0013481E">
        <w:rPr>
          <w:rFonts w:eastAsia="仿宋_GB2312"/>
          <w:sz w:val="32"/>
          <w:szCs w:val="32"/>
        </w:rPr>
        <w:t>个百分点。</w:t>
      </w:r>
    </w:p>
    <w:p w:rsidR="001513F8" w:rsidRPr="0013481E" w:rsidRDefault="001513F8" w:rsidP="00554432">
      <w:pPr>
        <w:spacing w:afterLines="50" w:line="540" w:lineRule="exact"/>
        <w:ind w:left="0" w:firstLineChars="200" w:firstLine="640"/>
        <w:rPr>
          <w:rFonts w:eastAsia="黑体"/>
          <w:sz w:val="32"/>
          <w:szCs w:val="32"/>
        </w:rPr>
      </w:pPr>
    </w:p>
    <w:p w:rsidR="004B6848" w:rsidRPr="007520E5" w:rsidRDefault="004B6848" w:rsidP="007520E5">
      <w:pPr>
        <w:jc w:val="center"/>
        <w:rPr>
          <w:rFonts w:asciiTheme="majorEastAsia" w:eastAsiaTheme="majorEastAsia" w:hAnsiTheme="majorEastAsia"/>
          <w:sz w:val="24"/>
          <w:szCs w:val="24"/>
        </w:rPr>
      </w:pPr>
      <w:r w:rsidRPr="007520E5">
        <w:rPr>
          <w:rFonts w:asciiTheme="majorEastAsia" w:eastAsiaTheme="majorEastAsia" w:hAnsiTheme="majorEastAsia"/>
          <w:sz w:val="24"/>
          <w:szCs w:val="24"/>
        </w:rPr>
        <w:lastRenderedPageBreak/>
        <w:t>表4 2017年末银行业金融机构本外币存贷款及其增长速度</w:t>
      </w:r>
    </w:p>
    <w:tbl>
      <w:tblPr>
        <w:tblW w:w="8476" w:type="dxa"/>
        <w:jc w:val="center"/>
        <w:tblCellMar>
          <w:top w:w="15" w:type="dxa"/>
          <w:left w:w="15" w:type="dxa"/>
          <w:bottom w:w="15" w:type="dxa"/>
          <w:right w:w="15" w:type="dxa"/>
        </w:tblCellMar>
        <w:tblLook w:val="04A0"/>
      </w:tblPr>
      <w:tblGrid>
        <w:gridCol w:w="3811"/>
        <w:gridCol w:w="2318"/>
        <w:gridCol w:w="2347"/>
      </w:tblGrid>
      <w:tr w:rsidR="004B6848" w:rsidRPr="0013481E" w:rsidTr="001513F8">
        <w:trPr>
          <w:trHeight w:val="603"/>
          <w:jc w:val="center"/>
        </w:trPr>
        <w:tc>
          <w:tcPr>
            <w:tcW w:w="381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center"/>
              <w:textAlignment w:val="auto"/>
              <w:rPr>
                <w:color w:val="auto"/>
                <w:szCs w:val="21"/>
              </w:rPr>
            </w:pPr>
            <w:r w:rsidRPr="0013481E">
              <w:rPr>
                <w:rFonts w:eastAsia="黑体" w:hAnsi="黑体"/>
                <w:color w:val="auto"/>
                <w:szCs w:val="21"/>
              </w:rPr>
              <w:t>指</w:t>
            </w:r>
            <w:r w:rsidRPr="0013481E">
              <w:rPr>
                <w:rFonts w:eastAsia="黑体"/>
                <w:color w:val="auto"/>
                <w:szCs w:val="21"/>
              </w:rPr>
              <w:t xml:space="preserve"> </w:t>
            </w:r>
            <w:r w:rsidRPr="0013481E">
              <w:rPr>
                <w:color w:val="auto"/>
                <w:szCs w:val="21"/>
              </w:rPr>
              <w:t>  </w:t>
            </w:r>
            <w:r w:rsidRPr="0013481E">
              <w:rPr>
                <w:rFonts w:eastAsia="黑体" w:hAnsi="黑体"/>
                <w:color w:val="auto"/>
                <w:szCs w:val="21"/>
              </w:rPr>
              <w:t>标</w:t>
            </w:r>
          </w:p>
        </w:tc>
        <w:tc>
          <w:tcPr>
            <w:tcW w:w="2318"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center"/>
              <w:textAlignment w:val="auto"/>
              <w:rPr>
                <w:color w:val="auto"/>
                <w:szCs w:val="21"/>
              </w:rPr>
            </w:pPr>
            <w:r w:rsidRPr="0013481E">
              <w:rPr>
                <w:rFonts w:eastAsia="黑体" w:hAnsi="黑体"/>
                <w:color w:val="auto"/>
                <w:szCs w:val="21"/>
              </w:rPr>
              <w:t>绝对数（万元）</w:t>
            </w:r>
          </w:p>
        </w:tc>
        <w:tc>
          <w:tcPr>
            <w:tcW w:w="2347" w:type="dxa"/>
            <w:tcBorders>
              <w:top w:val="single" w:sz="8" w:space="0" w:color="000000"/>
              <w:left w:val="nil"/>
              <w:bottom w:val="single" w:sz="8" w:space="0" w:color="000000"/>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center"/>
              <w:textAlignment w:val="auto"/>
              <w:rPr>
                <w:color w:val="auto"/>
                <w:szCs w:val="21"/>
              </w:rPr>
            </w:pPr>
            <w:r w:rsidRPr="0013481E">
              <w:rPr>
                <w:rFonts w:eastAsia="黑体" w:hAnsi="黑体"/>
                <w:color w:val="auto"/>
                <w:szCs w:val="21"/>
              </w:rPr>
              <w:t>比上年末增长（</w:t>
            </w:r>
            <w:r w:rsidRPr="0013481E">
              <w:rPr>
                <w:rFonts w:eastAsia="黑体"/>
                <w:color w:val="auto"/>
                <w:szCs w:val="21"/>
              </w:rPr>
              <w:t>%</w:t>
            </w:r>
            <w:r w:rsidRPr="0013481E">
              <w:rPr>
                <w:rFonts w:eastAsia="黑体" w:hAnsi="黑体"/>
                <w:color w:val="auto"/>
                <w:szCs w:val="21"/>
              </w:rPr>
              <w:t>）</w:t>
            </w:r>
          </w:p>
        </w:tc>
      </w:tr>
      <w:tr w:rsidR="004B6848" w:rsidRPr="0013481E" w:rsidTr="001513F8">
        <w:trPr>
          <w:trHeight w:val="412"/>
          <w:jc w:val="center"/>
        </w:trPr>
        <w:tc>
          <w:tcPr>
            <w:tcW w:w="3811"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rFonts w:hAnsi="宋体"/>
                <w:color w:val="auto"/>
                <w:szCs w:val="21"/>
              </w:rPr>
              <w:t>各项存款余额</w:t>
            </w:r>
          </w:p>
        </w:tc>
        <w:tc>
          <w:tcPr>
            <w:tcW w:w="2318"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934072</w:t>
            </w:r>
          </w:p>
        </w:tc>
        <w:tc>
          <w:tcPr>
            <w:tcW w:w="2347" w:type="dxa"/>
            <w:tcBorders>
              <w:top w:val="nil"/>
              <w:left w:val="nil"/>
              <w:bottom w:val="nil"/>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9.58</w:t>
            </w:r>
          </w:p>
        </w:tc>
      </w:tr>
      <w:tr w:rsidR="004B6848" w:rsidRPr="0013481E" w:rsidTr="001513F8">
        <w:trPr>
          <w:trHeight w:val="412"/>
          <w:jc w:val="center"/>
        </w:trPr>
        <w:tc>
          <w:tcPr>
            <w:tcW w:w="3811"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color w:val="auto"/>
                <w:szCs w:val="21"/>
              </w:rPr>
              <w:t>  </w:t>
            </w:r>
            <w:r w:rsidRPr="0013481E">
              <w:rPr>
                <w:rFonts w:hAnsi="宋体"/>
                <w:color w:val="auto"/>
                <w:szCs w:val="21"/>
              </w:rPr>
              <w:t>其中：非金融企业存款</w:t>
            </w:r>
          </w:p>
        </w:tc>
        <w:tc>
          <w:tcPr>
            <w:tcW w:w="2318"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99535</w:t>
            </w:r>
          </w:p>
        </w:tc>
        <w:tc>
          <w:tcPr>
            <w:tcW w:w="2347" w:type="dxa"/>
            <w:tcBorders>
              <w:top w:val="nil"/>
              <w:left w:val="nil"/>
              <w:bottom w:val="nil"/>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43.59</w:t>
            </w:r>
          </w:p>
        </w:tc>
      </w:tr>
      <w:tr w:rsidR="004B6848" w:rsidRPr="0013481E" w:rsidTr="001513F8">
        <w:trPr>
          <w:trHeight w:val="412"/>
          <w:jc w:val="center"/>
        </w:trPr>
        <w:tc>
          <w:tcPr>
            <w:tcW w:w="3811"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color w:val="auto"/>
                <w:szCs w:val="21"/>
              </w:rPr>
              <w:t>        </w:t>
            </w:r>
            <w:r w:rsidRPr="0013481E">
              <w:rPr>
                <w:rFonts w:hAnsi="宋体"/>
                <w:color w:val="auto"/>
                <w:szCs w:val="21"/>
              </w:rPr>
              <w:t>住户存款</w:t>
            </w:r>
          </w:p>
        </w:tc>
        <w:tc>
          <w:tcPr>
            <w:tcW w:w="2318"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621570</w:t>
            </w:r>
          </w:p>
        </w:tc>
        <w:tc>
          <w:tcPr>
            <w:tcW w:w="2347" w:type="dxa"/>
            <w:tcBorders>
              <w:top w:val="nil"/>
              <w:left w:val="nil"/>
              <w:bottom w:val="nil"/>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7.38</w:t>
            </w:r>
          </w:p>
        </w:tc>
      </w:tr>
      <w:tr w:rsidR="004B6848" w:rsidRPr="0013481E" w:rsidTr="001513F8">
        <w:trPr>
          <w:trHeight w:val="412"/>
          <w:jc w:val="center"/>
        </w:trPr>
        <w:tc>
          <w:tcPr>
            <w:tcW w:w="3811"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rFonts w:hAnsi="宋体"/>
                <w:color w:val="auto"/>
                <w:szCs w:val="21"/>
              </w:rPr>
              <w:t>各项贷款余额</w:t>
            </w:r>
          </w:p>
        </w:tc>
        <w:tc>
          <w:tcPr>
            <w:tcW w:w="2318"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361891</w:t>
            </w:r>
          </w:p>
        </w:tc>
        <w:tc>
          <w:tcPr>
            <w:tcW w:w="2347" w:type="dxa"/>
            <w:tcBorders>
              <w:top w:val="nil"/>
              <w:left w:val="nil"/>
              <w:bottom w:val="nil"/>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-2.32</w:t>
            </w:r>
          </w:p>
        </w:tc>
      </w:tr>
      <w:tr w:rsidR="004B6848" w:rsidRPr="0013481E" w:rsidTr="001513F8">
        <w:trPr>
          <w:trHeight w:val="412"/>
          <w:jc w:val="center"/>
        </w:trPr>
        <w:tc>
          <w:tcPr>
            <w:tcW w:w="3811"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color w:val="auto"/>
                <w:szCs w:val="21"/>
              </w:rPr>
              <w:t>  </w:t>
            </w:r>
            <w:r w:rsidRPr="0013481E">
              <w:rPr>
                <w:rFonts w:hAnsi="宋体"/>
                <w:color w:val="auto"/>
                <w:szCs w:val="21"/>
              </w:rPr>
              <w:t>其中：住户贷款</w:t>
            </w:r>
          </w:p>
        </w:tc>
        <w:tc>
          <w:tcPr>
            <w:tcW w:w="2318" w:type="dxa"/>
            <w:tcBorders>
              <w:top w:val="nil"/>
              <w:left w:val="nil"/>
              <w:bottom w:val="nil"/>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231269</w:t>
            </w:r>
          </w:p>
        </w:tc>
        <w:tc>
          <w:tcPr>
            <w:tcW w:w="2347" w:type="dxa"/>
            <w:tcBorders>
              <w:top w:val="nil"/>
              <w:left w:val="nil"/>
              <w:bottom w:val="nil"/>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16.21</w:t>
            </w:r>
          </w:p>
        </w:tc>
      </w:tr>
      <w:tr w:rsidR="004B6848" w:rsidRPr="0013481E" w:rsidTr="001513F8">
        <w:trPr>
          <w:trHeight w:val="412"/>
          <w:jc w:val="center"/>
        </w:trPr>
        <w:tc>
          <w:tcPr>
            <w:tcW w:w="381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left"/>
              <w:textAlignment w:val="auto"/>
              <w:rPr>
                <w:color w:val="auto"/>
                <w:szCs w:val="21"/>
              </w:rPr>
            </w:pPr>
            <w:r w:rsidRPr="0013481E">
              <w:rPr>
                <w:color w:val="auto"/>
                <w:szCs w:val="21"/>
              </w:rPr>
              <w:t>     </w:t>
            </w:r>
            <w:r w:rsidRPr="0013481E">
              <w:rPr>
                <w:rFonts w:hAnsi="宋体"/>
                <w:color w:val="auto"/>
                <w:szCs w:val="21"/>
              </w:rPr>
              <w:t>非金融企业及机关团体贷款</w:t>
            </w:r>
          </w:p>
        </w:tc>
        <w:tc>
          <w:tcPr>
            <w:tcW w:w="2318"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129943</w:t>
            </w:r>
          </w:p>
        </w:tc>
        <w:tc>
          <w:tcPr>
            <w:tcW w:w="2347" w:type="dxa"/>
            <w:tcBorders>
              <w:top w:val="nil"/>
              <w:left w:val="nil"/>
              <w:bottom w:val="single" w:sz="8" w:space="0" w:color="000000"/>
              <w:right w:val="nil"/>
            </w:tcBorders>
            <w:tcMar>
              <w:top w:w="0" w:type="dxa"/>
              <w:left w:w="0" w:type="dxa"/>
              <w:bottom w:w="0" w:type="dxa"/>
              <w:right w:w="0" w:type="dxa"/>
            </w:tcMar>
            <w:vAlign w:val="center"/>
            <w:hideMark/>
          </w:tcPr>
          <w:p w:rsidR="004B6848" w:rsidRPr="0013481E" w:rsidRDefault="004B6848" w:rsidP="004B6848">
            <w:pPr>
              <w:widowControl/>
              <w:spacing w:before="100" w:beforeAutospacing="1" w:after="100" w:afterAutospacing="1" w:line="240" w:lineRule="atLeast"/>
              <w:ind w:left="0"/>
              <w:jc w:val="right"/>
              <w:textAlignment w:val="auto"/>
              <w:rPr>
                <w:color w:val="auto"/>
                <w:szCs w:val="21"/>
              </w:rPr>
            </w:pPr>
            <w:r w:rsidRPr="0013481E">
              <w:rPr>
                <w:color w:val="auto"/>
                <w:szCs w:val="21"/>
              </w:rPr>
              <w:t>-23.88</w:t>
            </w:r>
          </w:p>
        </w:tc>
      </w:tr>
    </w:tbl>
    <w:p w:rsidR="00FA3E3F" w:rsidRPr="0013481E" w:rsidRDefault="00FA3E3F" w:rsidP="00554432">
      <w:pPr>
        <w:spacing w:afterLines="50" w:line="540" w:lineRule="exact"/>
        <w:ind w:left="0" w:firstLineChars="200" w:firstLine="640"/>
        <w:rPr>
          <w:rFonts w:eastAsia="仿宋_GB2312"/>
          <w:color w:val="FF0000"/>
          <w:sz w:val="32"/>
          <w:szCs w:val="32"/>
        </w:rPr>
      </w:pPr>
    </w:p>
    <w:p w:rsidR="00BD7ABC" w:rsidRPr="0013481E" w:rsidRDefault="004B6848" w:rsidP="00554432">
      <w:pPr>
        <w:spacing w:afterLines="50" w:line="540" w:lineRule="exact"/>
        <w:ind w:left="0" w:firstLineChars="200" w:firstLine="640"/>
        <w:rPr>
          <w:rFonts w:eastAsia="仿宋_GB2312"/>
          <w:sz w:val="32"/>
          <w:szCs w:val="32"/>
        </w:rPr>
      </w:pPr>
      <w:r w:rsidRPr="0013481E">
        <w:rPr>
          <w:rFonts w:eastAsia="仿宋_GB2312"/>
          <w:sz w:val="32"/>
          <w:szCs w:val="32"/>
        </w:rPr>
        <w:t>年末全</w:t>
      </w:r>
      <w:r w:rsidR="00964808" w:rsidRPr="0013481E">
        <w:rPr>
          <w:rFonts w:eastAsia="仿宋_GB2312"/>
          <w:sz w:val="32"/>
          <w:szCs w:val="32"/>
        </w:rPr>
        <w:t>县</w:t>
      </w:r>
      <w:r w:rsidRPr="0013481E">
        <w:rPr>
          <w:rFonts w:eastAsia="仿宋_GB2312"/>
          <w:sz w:val="32"/>
          <w:szCs w:val="32"/>
        </w:rPr>
        <w:t>证券市场共有上市公司</w:t>
      </w:r>
      <w:r w:rsidRPr="0013481E">
        <w:rPr>
          <w:rFonts w:eastAsia="仿宋_GB2312"/>
          <w:sz w:val="32"/>
          <w:szCs w:val="32"/>
        </w:rPr>
        <w:t>1</w:t>
      </w:r>
      <w:r w:rsidRPr="0013481E">
        <w:rPr>
          <w:rFonts w:eastAsia="仿宋_GB2312"/>
          <w:sz w:val="32"/>
          <w:szCs w:val="32"/>
        </w:rPr>
        <w:t>家，市价总值</w:t>
      </w:r>
      <w:r w:rsidR="00964808" w:rsidRPr="0013481E">
        <w:rPr>
          <w:rFonts w:eastAsia="仿宋_GB2312"/>
          <w:sz w:val="32"/>
          <w:szCs w:val="32"/>
        </w:rPr>
        <w:t>126.35</w:t>
      </w:r>
      <w:r w:rsidRPr="0013481E">
        <w:rPr>
          <w:rFonts w:eastAsia="仿宋_GB2312"/>
          <w:sz w:val="32"/>
          <w:szCs w:val="32"/>
        </w:rPr>
        <w:t>亿元</w:t>
      </w:r>
      <w:r w:rsidR="004058EC" w:rsidRPr="0013481E">
        <w:rPr>
          <w:rFonts w:eastAsia="仿宋_GB2312"/>
          <w:sz w:val="32"/>
          <w:szCs w:val="32"/>
        </w:rPr>
        <w:t>，比上年末增长</w:t>
      </w:r>
      <w:r w:rsidR="004058EC" w:rsidRPr="0013481E">
        <w:rPr>
          <w:rFonts w:eastAsia="仿宋_GB2312"/>
          <w:sz w:val="32"/>
          <w:szCs w:val="32"/>
        </w:rPr>
        <w:t>54.46%</w:t>
      </w:r>
      <w:r w:rsidRPr="0013481E">
        <w:rPr>
          <w:rFonts w:eastAsia="仿宋_GB2312"/>
          <w:sz w:val="32"/>
          <w:szCs w:val="32"/>
        </w:rPr>
        <w:t>。全年上市公司通过境内市场累计筹资</w:t>
      </w:r>
      <w:r w:rsidR="00964808" w:rsidRPr="0013481E">
        <w:rPr>
          <w:rFonts w:eastAsia="仿宋_GB2312"/>
          <w:sz w:val="32"/>
          <w:szCs w:val="32"/>
        </w:rPr>
        <w:t>30</w:t>
      </w:r>
      <w:r w:rsidR="00964808" w:rsidRPr="0013481E">
        <w:rPr>
          <w:rFonts w:eastAsia="仿宋_GB2312"/>
          <w:sz w:val="32"/>
          <w:szCs w:val="32"/>
        </w:rPr>
        <w:t>亿元，增长</w:t>
      </w:r>
      <w:r w:rsidR="00964808" w:rsidRPr="0013481E">
        <w:rPr>
          <w:rFonts w:eastAsia="仿宋_GB2312"/>
          <w:sz w:val="32"/>
          <w:szCs w:val="32"/>
        </w:rPr>
        <w:t>100%</w:t>
      </w:r>
      <w:r w:rsidR="00964808" w:rsidRPr="0013481E">
        <w:rPr>
          <w:rFonts w:eastAsia="仿宋_GB2312"/>
          <w:sz w:val="32"/>
          <w:szCs w:val="32"/>
        </w:rPr>
        <w:t>。年末，证券营业部</w:t>
      </w:r>
      <w:r w:rsidR="00964808" w:rsidRPr="0013481E">
        <w:rPr>
          <w:rFonts w:eastAsia="仿宋_GB2312"/>
          <w:sz w:val="32"/>
          <w:szCs w:val="32"/>
        </w:rPr>
        <w:t>1</w:t>
      </w:r>
      <w:r w:rsidR="00964808" w:rsidRPr="0013481E">
        <w:rPr>
          <w:rFonts w:eastAsia="仿宋_GB2312"/>
          <w:sz w:val="32"/>
          <w:szCs w:val="32"/>
        </w:rPr>
        <w:t>家，股东账户数</w:t>
      </w:r>
      <w:r w:rsidR="00964808" w:rsidRPr="0013481E">
        <w:rPr>
          <w:rFonts w:eastAsia="仿宋_GB2312"/>
          <w:sz w:val="32"/>
          <w:szCs w:val="32"/>
        </w:rPr>
        <w:t>22862</w:t>
      </w:r>
      <w:r w:rsidR="00964808" w:rsidRPr="0013481E">
        <w:rPr>
          <w:rFonts w:eastAsia="仿宋_GB2312"/>
          <w:sz w:val="32"/>
          <w:szCs w:val="32"/>
        </w:rPr>
        <w:t>个，增长</w:t>
      </w:r>
      <w:r w:rsidR="00964808" w:rsidRPr="0013481E">
        <w:rPr>
          <w:rFonts w:eastAsia="仿宋_GB2312"/>
          <w:sz w:val="32"/>
          <w:szCs w:val="32"/>
        </w:rPr>
        <w:t>21.01%</w:t>
      </w:r>
      <w:r w:rsidR="00964808" w:rsidRPr="0013481E">
        <w:rPr>
          <w:rFonts w:eastAsia="仿宋_GB2312"/>
          <w:sz w:val="32"/>
          <w:szCs w:val="32"/>
        </w:rPr>
        <w:t>，全年股票交易额累计</w:t>
      </w:r>
      <w:r w:rsidR="00964808" w:rsidRPr="0013481E">
        <w:rPr>
          <w:rFonts w:eastAsia="仿宋_GB2312"/>
          <w:sz w:val="32"/>
          <w:szCs w:val="32"/>
        </w:rPr>
        <w:t>230.52</w:t>
      </w:r>
      <w:r w:rsidR="00964808" w:rsidRPr="0013481E">
        <w:rPr>
          <w:rFonts w:eastAsia="仿宋_GB2312"/>
          <w:sz w:val="32"/>
          <w:szCs w:val="32"/>
        </w:rPr>
        <w:t>亿元，下降</w:t>
      </w:r>
      <w:r w:rsidR="00964808" w:rsidRPr="0013481E">
        <w:rPr>
          <w:rFonts w:eastAsia="仿宋_GB2312"/>
          <w:sz w:val="32"/>
          <w:szCs w:val="32"/>
        </w:rPr>
        <w:t>4.47%</w:t>
      </w:r>
      <w:r w:rsidR="00964808" w:rsidRPr="0013481E">
        <w:rPr>
          <w:rFonts w:eastAsia="仿宋_GB2312"/>
          <w:sz w:val="32"/>
          <w:szCs w:val="32"/>
        </w:rPr>
        <w:t>。</w:t>
      </w:r>
    </w:p>
    <w:p w:rsidR="00436E89" w:rsidRPr="0013481E" w:rsidRDefault="00436E89" w:rsidP="00554432">
      <w:pPr>
        <w:spacing w:afterLines="50" w:line="540" w:lineRule="exact"/>
        <w:ind w:left="0" w:firstLineChars="200" w:firstLine="640"/>
        <w:rPr>
          <w:rFonts w:eastAsia="仿宋_GB2312"/>
          <w:sz w:val="32"/>
          <w:szCs w:val="32"/>
        </w:rPr>
      </w:pPr>
      <w:r w:rsidRPr="0013481E">
        <w:rPr>
          <w:rFonts w:eastAsia="仿宋_GB2312"/>
          <w:sz w:val="32"/>
          <w:szCs w:val="32"/>
        </w:rPr>
        <w:t>年末，全县共有</w:t>
      </w:r>
      <w:r w:rsidRPr="0013481E">
        <w:rPr>
          <w:rFonts w:eastAsia="仿宋_GB2312"/>
          <w:sz w:val="32"/>
          <w:szCs w:val="32"/>
        </w:rPr>
        <w:t>3</w:t>
      </w:r>
      <w:r w:rsidRPr="0013481E">
        <w:rPr>
          <w:rFonts w:eastAsia="仿宋_GB2312"/>
          <w:sz w:val="32"/>
          <w:szCs w:val="32"/>
        </w:rPr>
        <w:t>家</w:t>
      </w:r>
      <w:r w:rsidRPr="0013481E">
        <w:rPr>
          <w:rFonts w:eastAsia="仿宋_GB2312"/>
          <w:sz w:val="32"/>
          <w:szCs w:val="32"/>
        </w:rPr>
        <w:t>“</w:t>
      </w:r>
      <w:r w:rsidRPr="0013481E">
        <w:rPr>
          <w:rFonts w:eastAsia="仿宋_GB2312"/>
          <w:sz w:val="32"/>
          <w:szCs w:val="32"/>
        </w:rPr>
        <w:t>新三板</w:t>
      </w:r>
      <w:r w:rsidRPr="0013481E">
        <w:rPr>
          <w:rFonts w:eastAsia="仿宋_GB2312"/>
          <w:sz w:val="32"/>
          <w:szCs w:val="32"/>
        </w:rPr>
        <w:t>”</w:t>
      </w:r>
      <w:r w:rsidRPr="0013481E">
        <w:rPr>
          <w:rFonts w:eastAsia="仿宋_GB2312"/>
          <w:sz w:val="32"/>
          <w:szCs w:val="32"/>
        </w:rPr>
        <w:t>挂牌企业，其中，</w:t>
      </w:r>
      <w:r w:rsidRPr="0013481E">
        <w:rPr>
          <w:rFonts w:eastAsia="仿宋_GB2312"/>
          <w:sz w:val="32"/>
          <w:szCs w:val="32"/>
        </w:rPr>
        <w:t>2017</w:t>
      </w:r>
      <w:r w:rsidRPr="0013481E">
        <w:rPr>
          <w:rFonts w:eastAsia="仿宋_GB2312"/>
          <w:sz w:val="32"/>
          <w:szCs w:val="32"/>
        </w:rPr>
        <w:t>年新增</w:t>
      </w:r>
      <w:r w:rsidRPr="0013481E">
        <w:rPr>
          <w:rFonts w:eastAsia="仿宋_GB2312"/>
          <w:sz w:val="32"/>
          <w:szCs w:val="32"/>
        </w:rPr>
        <w:t>2</w:t>
      </w:r>
      <w:r w:rsidRPr="0013481E">
        <w:rPr>
          <w:rFonts w:eastAsia="仿宋_GB2312"/>
          <w:sz w:val="32"/>
          <w:szCs w:val="32"/>
        </w:rPr>
        <w:t>家。</w:t>
      </w:r>
    </w:p>
    <w:p w:rsidR="004F027A"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全年财产、人寿</w:t>
      </w:r>
      <w:r w:rsidR="00436E89" w:rsidRPr="0013481E">
        <w:rPr>
          <w:rFonts w:eastAsia="仿宋_GB2312"/>
          <w:sz w:val="32"/>
          <w:szCs w:val="32"/>
        </w:rPr>
        <w:t>实现</w:t>
      </w:r>
      <w:r w:rsidRPr="0013481E">
        <w:rPr>
          <w:rFonts w:eastAsia="仿宋_GB2312"/>
          <w:sz w:val="32"/>
          <w:szCs w:val="32"/>
        </w:rPr>
        <w:t>保险费收入</w:t>
      </w:r>
      <w:r w:rsidR="00AC5C95" w:rsidRPr="0013481E">
        <w:rPr>
          <w:rFonts w:eastAsia="仿宋_GB2312"/>
          <w:sz w:val="32"/>
          <w:szCs w:val="32"/>
        </w:rPr>
        <w:t>14093</w:t>
      </w:r>
      <w:r w:rsidRPr="0013481E">
        <w:rPr>
          <w:rFonts w:eastAsia="仿宋_GB2312"/>
          <w:sz w:val="32"/>
          <w:szCs w:val="32"/>
        </w:rPr>
        <w:t>万元</w:t>
      </w:r>
      <w:r w:rsidRPr="0013481E">
        <w:rPr>
          <w:rFonts w:eastAsia="仿宋_GB2312"/>
          <w:sz w:val="32"/>
          <w:szCs w:val="32"/>
        </w:rPr>
        <w:t xml:space="preserve"> </w:t>
      </w:r>
      <w:r w:rsidRPr="0013481E">
        <w:rPr>
          <w:rFonts w:eastAsia="仿宋_GB2312"/>
          <w:sz w:val="32"/>
          <w:szCs w:val="32"/>
        </w:rPr>
        <w:t>，比上年增长</w:t>
      </w:r>
      <w:r w:rsidR="00FD5613" w:rsidRPr="0013481E">
        <w:rPr>
          <w:rFonts w:eastAsia="仿宋_GB2312"/>
          <w:sz w:val="32"/>
          <w:szCs w:val="32"/>
        </w:rPr>
        <w:t>14.</w:t>
      </w:r>
      <w:r w:rsidR="00AC5C95" w:rsidRPr="0013481E">
        <w:rPr>
          <w:rFonts w:eastAsia="仿宋_GB2312"/>
          <w:sz w:val="32"/>
          <w:szCs w:val="32"/>
        </w:rPr>
        <w:t>3</w:t>
      </w:r>
      <w:r w:rsidRPr="0013481E">
        <w:rPr>
          <w:rFonts w:eastAsia="仿宋_GB2312"/>
          <w:sz w:val="32"/>
          <w:szCs w:val="32"/>
        </w:rPr>
        <w:t xml:space="preserve">%, </w:t>
      </w:r>
      <w:r w:rsidRPr="0013481E">
        <w:rPr>
          <w:rFonts w:eastAsia="仿宋_GB2312"/>
          <w:sz w:val="32"/>
          <w:szCs w:val="32"/>
        </w:rPr>
        <w:t>其中财产保险费收入</w:t>
      </w:r>
      <w:r w:rsidR="00AC5C95" w:rsidRPr="0013481E">
        <w:rPr>
          <w:rFonts w:eastAsia="仿宋_GB2312"/>
          <w:sz w:val="32"/>
          <w:szCs w:val="32"/>
        </w:rPr>
        <w:t>5858</w:t>
      </w:r>
      <w:r w:rsidRPr="0013481E">
        <w:rPr>
          <w:rFonts w:eastAsia="仿宋_GB2312"/>
          <w:sz w:val="32"/>
          <w:szCs w:val="32"/>
        </w:rPr>
        <w:t>万元，</w:t>
      </w:r>
      <w:r w:rsidRPr="0013481E">
        <w:rPr>
          <w:rFonts w:eastAsia="仿宋_GB2312"/>
          <w:sz w:val="32"/>
          <w:szCs w:val="32"/>
        </w:rPr>
        <w:t xml:space="preserve"> </w:t>
      </w:r>
      <w:r w:rsidRPr="0013481E">
        <w:rPr>
          <w:rFonts w:eastAsia="仿宋_GB2312"/>
          <w:sz w:val="32"/>
          <w:szCs w:val="32"/>
        </w:rPr>
        <w:t>比上年增长</w:t>
      </w:r>
      <w:r w:rsidR="00AC5C95" w:rsidRPr="0013481E">
        <w:rPr>
          <w:rFonts w:eastAsia="仿宋_GB2312"/>
          <w:sz w:val="32"/>
          <w:szCs w:val="32"/>
        </w:rPr>
        <w:t>13.97</w:t>
      </w:r>
      <w:r w:rsidR="00AC1CC5" w:rsidRPr="0013481E">
        <w:rPr>
          <w:rFonts w:eastAsia="仿宋_GB2312"/>
          <w:sz w:val="32"/>
          <w:szCs w:val="32"/>
        </w:rPr>
        <w:t>%</w:t>
      </w:r>
      <w:r w:rsidRPr="0013481E">
        <w:rPr>
          <w:rFonts w:eastAsia="仿宋_GB2312"/>
          <w:sz w:val="32"/>
          <w:szCs w:val="32"/>
        </w:rPr>
        <w:t>；人寿保险费收入</w:t>
      </w:r>
      <w:r w:rsidR="00AC5C95" w:rsidRPr="0013481E">
        <w:rPr>
          <w:rFonts w:eastAsia="仿宋_GB2312"/>
          <w:sz w:val="32"/>
          <w:szCs w:val="32"/>
        </w:rPr>
        <w:t>8235</w:t>
      </w:r>
      <w:r w:rsidRPr="0013481E">
        <w:rPr>
          <w:rFonts w:eastAsia="仿宋_GB2312"/>
          <w:sz w:val="32"/>
          <w:szCs w:val="32"/>
        </w:rPr>
        <w:t>万元，比上年</w:t>
      </w:r>
      <w:r w:rsidR="00C20F00" w:rsidRPr="0013481E">
        <w:rPr>
          <w:rFonts w:eastAsia="仿宋_GB2312"/>
          <w:sz w:val="32"/>
          <w:szCs w:val="32"/>
        </w:rPr>
        <w:t>增长</w:t>
      </w:r>
      <w:r w:rsidR="00AC5C95" w:rsidRPr="0013481E">
        <w:rPr>
          <w:rFonts w:eastAsia="仿宋_GB2312"/>
          <w:sz w:val="32"/>
          <w:szCs w:val="32"/>
        </w:rPr>
        <w:t>14.57</w:t>
      </w:r>
      <w:r w:rsidRPr="0013481E">
        <w:rPr>
          <w:rFonts w:eastAsia="仿宋_GB2312"/>
          <w:sz w:val="32"/>
          <w:szCs w:val="32"/>
        </w:rPr>
        <w:t>%</w:t>
      </w:r>
      <w:r w:rsidRPr="0013481E">
        <w:rPr>
          <w:rFonts w:eastAsia="仿宋_GB2312"/>
          <w:sz w:val="32"/>
          <w:szCs w:val="32"/>
        </w:rPr>
        <w:t>。</w:t>
      </w:r>
      <w:r w:rsidRPr="0013481E">
        <w:rPr>
          <w:rFonts w:eastAsia="仿宋_GB2312"/>
          <w:sz w:val="32"/>
          <w:szCs w:val="32"/>
        </w:rPr>
        <w:t xml:space="preserve"> </w:t>
      </w:r>
      <w:r w:rsidRPr="0013481E">
        <w:rPr>
          <w:rFonts w:eastAsia="仿宋_GB2312"/>
          <w:sz w:val="32"/>
          <w:szCs w:val="32"/>
        </w:rPr>
        <w:t>支付险赔金额</w:t>
      </w:r>
      <w:r w:rsidR="00AC5C95" w:rsidRPr="0013481E">
        <w:rPr>
          <w:rFonts w:eastAsia="仿宋_GB2312"/>
          <w:sz w:val="32"/>
          <w:szCs w:val="32"/>
        </w:rPr>
        <w:t>7644</w:t>
      </w:r>
      <w:r w:rsidRPr="0013481E">
        <w:rPr>
          <w:rFonts w:eastAsia="仿宋_GB2312"/>
          <w:sz w:val="32"/>
          <w:szCs w:val="32"/>
        </w:rPr>
        <w:t>万元，比上年增长</w:t>
      </w:r>
      <w:r w:rsidR="00AC5C95" w:rsidRPr="0013481E">
        <w:rPr>
          <w:rFonts w:eastAsia="仿宋_GB2312"/>
          <w:sz w:val="32"/>
          <w:szCs w:val="32"/>
        </w:rPr>
        <w:t>31.03</w:t>
      </w:r>
      <w:r w:rsidRPr="0013481E">
        <w:rPr>
          <w:rFonts w:eastAsia="仿宋_GB2312"/>
          <w:sz w:val="32"/>
          <w:szCs w:val="32"/>
        </w:rPr>
        <w:t>%</w:t>
      </w:r>
      <w:r w:rsidRPr="0013481E">
        <w:rPr>
          <w:rFonts w:eastAsia="仿宋_GB2312"/>
          <w:sz w:val="32"/>
          <w:szCs w:val="32"/>
        </w:rPr>
        <w:t>，其中财产保险支付赔款金额</w:t>
      </w:r>
      <w:r w:rsidR="00AC5C95" w:rsidRPr="0013481E">
        <w:rPr>
          <w:rFonts w:eastAsia="仿宋_GB2312"/>
          <w:sz w:val="32"/>
          <w:szCs w:val="32"/>
        </w:rPr>
        <w:t>2379</w:t>
      </w:r>
      <w:r w:rsidRPr="0013481E">
        <w:rPr>
          <w:rFonts w:eastAsia="仿宋_GB2312"/>
          <w:sz w:val="32"/>
          <w:szCs w:val="32"/>
        </w:rPr>
        <w:t>万元，比上年增长</w:t>
      </w:r>
      <w:r w:rsidR="00AC5C95" w:rsidRPr="0013481E">
        <w:rPr>
          <w:rFonts w:eastAsia="仿宋_GB2312"/>
          <w:sz w:val="32"/>
          <w:szCs w:val="32"/>
        </w:rPr>
        <w:t>6.8</w:t>
      </w:r>
      <w:r w:rsidRPr="0013481E">
        <w:rPr>
          <w:rFonts w:eastAsia="仿宋_GB2312"/>
          <w:sz w:val="32"/>
          <w:szCs w:val="32"/>
        </w:rPr>
        <w:t>%</w:t>
      </w:r>
      <w:r w:rsidRPr="0013481E">
        <w:rPr>
          <w:rFonts w:eastAsia="仿宋_GB2312"/>
          <w:sz w:val="32"/>
          <w:szCs w:val="32"/>
        </w:rPr>
        <w:t>；寿险给付及赔付金额</w:t>
      </w:r>
      <w:r w:rsidR="00AC5C95" w:rsidRPr="0013481E">
        <w:rPr>
          <w:rFonts w:eastAsia="仿宋_GB2312"/>
          <w:sz w:val="32"/>
          <w:szCs w:val="32"/>
        </w:rPr>
        <w:t>5265</w:t>
      </w:r>
      <w:r w:rsidRPr="0013481E">
        <w:rPr>
          <w:rFonts w:eastAsia="仿宋_GB2312"/>
          <w:sz w:val="32"/>
          <w:szCs w:val="32"/>
        </w:rPr>
        <w:t>万元，比上年</w:t>
      </w:r>
      <w:r w:rsidR="00C20F00" w:rsidRPr="0013481E">
        <w:rPr>
          <w:rFonts w:eastAsia="仿宋_GB2312"/>
          <w:sz w:val="32"/>
          <w:szCs w:val="32"/>
        </w:rPr>
        <w:t>增长</w:t>
      </w:r>
      <w:r w:rsidR="00AC5C95" w:rsidRPr="0013481E">
        <w:rPr>
          <w:rFonts w:eastAsia="仿宋_GB2312"/>
          <w:sz w:val="32"/>
          <w:szCs w:val="32"/>
        </w:rPr>
        <w:t>46.01</w:t>
      </w:r>
      <w:r w:rsidRPr="0013481E">
        <w:rPr>
          <w:rFonts w:eastAsia="仿宋_GB2312"/>
          <w:sz w:val="32"/>
          <w:szCs w:val="32"/>
        </w:rPr>
        <w:t>%</w:t>
      </w:r>
      <w:r w:rsidRPr="0013481E">
        <w:rPr>
          <w:rFonts w:eastAsia="仿宋_GB2312"/>
          <w:sz w:val="32"/>
          <w:szCs w:val="32"/>
        </w:rPr>
        <w:t>。</w:t>
      </w:r>
    </w:p>
    <w:p w:rsidR="00FA3E3F" w:rsidRPr="0013481E" w:rsidRDefault="00FA3E3F" w:rsidP="00554432">
      <w:pPr>
        <w:spacing w:afterLines="50" w:line="540" w:lineRule="exact"/>
        <w:ind w:left="0" w:firstLineChars="200" w:firstLine="640"/>
        <w:rPr>
          <w:rFonts w:eastAsia="黑体"/>
          <w:color w:val="auto"/>
          <w:sz w:val="32"/>
          <w:szCs w:val="32"/>
        </w:rPr>
      </w:pPr>
      <w:r w:rsidRPr="0013481E">
        <w:rPr>
          <w:rFonts w:eastAsia="黑体" w:hAnsi="黑体"/>
          <w:color w:val="auto"/>
          <w:sz w:val="32"/>
          <w:szCs w:val="32"/>
        </w:rPr>
        <w:t>九、科技、教育、文化、卫生和体育</w:t>
      </w:r>
    </w:p>
    <w:p w:rsidR="00ED0629" w:rsidRPr="0013481E" w:rsidRDefault="0043629E" w:rsidP="00554432">
      <w:pPr>
        <w:spacing w:afterLines="50" w:line="540" w:lineRule="exact"/>
        <w:ind w:left="0" w:firstLineChars="200" w:firstLine="640"/>
        <w:rPr>
          <w:rFonts w:eastAsia="仿宋_GB2312"/>
          <w:color w:val="auto"/>
          <w:sz w:val="32"/>
          <w:szCs w:val="32"/>
        </w:rPr>
      </w:pPr>
      <w:r w:rsidRPr="0013481E">
        <w:rPr>
          <w:rFonts w:eastAsia="仿宋_GB2312"/>
          <w:color w:val="auto"/>
          <w:sz w:val="32"/>
          <w:szCs w:val="32"/>
        </w:rPr>
        <w:t>年末全县高技术产业企业</w:t>
      </w:r>
      <w:r w:rsidRPr="0013481E">
        <w:rPr>
          <w:rFonts w:eastAsia="仿宋_GB2312"/>
          <w:color w:val="auto"/>
          <w:sz w:val="32"/>
          <w:szCs w:val="32"/>
        </w:rPr>
        <w:t>6</w:t>
      </w:r>
      <w:r w:rsidRPr="0013481E">
        <w:rPr>
          <w:rFonts w:eastAsia="仿宋_GB2312"/>
          <w:color w:val="auto"/>
          <w:sz w:val="32"/>
          <w:szCs w:val="32"/>
        </w:rPr>
        <w:t>家，实现产值</w:t>
      </w:r>
      <w:r w:rsidRPr="0013481E">
        <w:rPr>
          <w:rFonts w:eastAsia="仿宋_GB2312"/>
          <w:color w:val="auto"/>
          <w:sz w:val="32"/>
          <w:szCs w:val="32"/>
        </w:rPr>
        <w:t>54938</w:t>
      </w:r>
      <w:r w:rsidRPr="0013481E">
        <w:rPr>
          <w:rFonts w:eastAsia="仿宋_GB2312"/>
          <w:color w:val="auto"/>
          <w:sz w:val="32"/>
          <w:szCs w:val="32"/>
        </w:rPr>
        <w:t>万元。全县获市级及以上科技成果奖</w:t>
      </w:r>
      <w:r w:rsidRPr="0013481E">
        <w:rPr>
          <w:rFonts w:eastAsia="仿宋_GB2312"/>
          <w:color w:val="auto"/>
          <w:sz w:val="32"/>
          <w:szCs w:val="32"/>
        </w:rPr>
        <w:t>2</w:t>
      </w:r>
      <w:r w:rsidRPr="0013481E">
        <w:rPr>
          <w:rFonts w:eastAsia="仿宋_GB2312"/>
          <w:color w:val="auto"/>
          <w:sz w:val="32"/>
          <w:szCs w:val="32"/>
        </w:rPr>
        <w:t>项。全年全市专利申请量</w:t>
      </w:r>
      <w:r w:rsidRPr="0013481E">
        <w:rPr>
          <w:rFonts w:eastAsia="仿宋_GB2312"/>
          <w:color w:val="auto"/>
          <w:sz w:val="32"/>
          <w:szCs w:val="32"/>
        </w:rPr>
        <w:t>91</w:t>
      </w:r>
      <w:r w:rsidRPr="0013481E">
        <w:rPr>
          <w:rFonts w:eastAsia="仿宋_GB2312"/>
          <w:color w:val="auto"/>
          <w:sz w:val="32"/>
          <w:szCs w:val="32"/>
        </w:rPr>
        <w:t>件，增长</w:t>
      </w:r>
      <w:r w:rsidRPr="0013481E">
        <w:rPr>
          <w:rFonts w:eastAsia="仿宋_GB2312"/>
          <w:color w:val="auto"/>
          <w:sz w:val="32"/>
          <w:szCs w:val="32"/>
        </w:rPr>
        <w:t>133.3%</w:t>
      </w:r>
      <w:r w:rsidRPr="0013481E">
        <w:rPr>
          <w:rFonts w:eastAsia="仿宋_GB2312"/>
          <w:color w:val="auto"/>
          <w:sz w:val="32"/>
          <w:szCs w:val="32"/>
        </w:rPr>
        <w:t>。其中：发明</w:t>
      </w:r>
      <w:r w:rsidRPr="0013481E">
        <w:rPr>
          <w:rFonts w:eastAsia="仿宋_GB2312"/>
          <w:color w:val="auto"/>
          <w:sz w:val="32"/>
          <w:szCs w:val="32"/>
        </w:rPr>
        <w:t>16</w:t>
      </w:r>
      <w:r w:rsidRPr="0013481E">
        <w:rPr>
          <w:rFonts w:eastAsia="仿宋_GB2312"/>
          <w:color w:val="auto"/>
          <w:sz w:val="32"/>
          <w:szCs w:val="32"/>
        </w:rPr>
        <w:t>件，增长</w:t>
      </w:r>
      <w:r w:rsidR="00EE76D2" w:rsidRPr="0013481E">
        <w:rPr>
          <w:rFonts w:eastAsia="仿宋_GB2312"/>
          <w:color w:val="auto"/>
          <w:sz w:val="32"/>
          <w:szCs w:val="32"/>
        </w:rPr>
        <w:t>433.3</w:t>
      </w:r>
      <w:r w:rsidRPr="0013481E">
        <w:rPr>
          <w:rFonts w:eastAsia="仿宋_GB2312"/>
          <w:color w:val="auto"/>
          <w:sz w:val="32"/>
          <w:szCs w:val="32"/>
        </w:rPr>
        <w:t>%</w:t>
      </w:r>
      <w:r w:rsidRPr="0013481E">
        <w:rPr>
          <w:rFonts w:eastAsia="仿宋_GB2312"/>
          <w:color w:val="auto"/>
          <w:sz w:val="32"/>
          <w:szCs w:val="32"/>
        </w:rPr>
        <w:t>；实用新型</w:t>
      </w:r>
      <w:r w:rsidR="00EE76D2" w:rsidRPr="0013481E">
        <w:rPr>
          <w:rFonts w:eastAsia="仿宋_GB2312"/>
          <w:color w:val="auto"/>
          <w:sz w:val="32"/>
          <w:szCs w:val="32"/>
        </w:rPr>
        <w:t>42</w:t>
      </w:r>
      <w:r w:rsidRPr="0013481E">
        <w:rPr>
          <w:rFonts w:eastAsia="仿宋_GB2312"/>
          <w:color w:val="auto"/>
          <w:sz w:val="32"/>
          <w:szCs w:val="32"/>
        </w:rPr>
        <w:t>件，</w:t>
      </w:r>
      <w:r w:rsidR="00EE76D2" w:rsidRPr="0013481E">
        <w:rPr>
          <w:rFonts w:eastAsia="仿宋_GB2312"/>
          <w:color w:val="auto"/>
          <w:sz w:val="32"/>
          <w:szCs w:val="32"/>
        </w:rPr>
        <w:t>增长</w:t>
      </w:r>
      <w:r w:rsidR="00EE76D2" w:rsidRPr="0013481E">
        <w:rPr>
          <w:rFonts w:eastAsia="仿宋_GB2312"/>
          <w:color w:val="auto"/>
          <w:sz w:val="32"/>
          <w:szCs w:val="32"/>
        </w:rPr>
        <w:lastRenderedPageBreak/>
        <w:t>100</w:t>
      </w:r>
      <w:r w:rsidRPr="0013481E">
        <w:rPr>
          <w:rFonts w:eastAsia="仿宋_GB2312"/>
          <w:color w:val="auto"/>
          <w:sz w:val="32"/>
          <w:szCs w:val="32"/>
        </w:rPr>
        <w:t>%</w:t>
      </w:r>
      <w:r w:rsidRPr="0013481E">
        <w:rPr>
          <w:rFonts w:eastAsia="仿宋_GB2312"/>
          <w:color w:val="auto"/>
          <w:sz w:val="32"/>
          <w:szCs w:val="32"/>
        </w:rPr>
        <w:t>；外观设计</w:t>
      </w:r>
      <w:r w:rsidR="00EE76D2" w:rsidRPr="0013481E">
        <w:rPr>
          <w:rFonts w:eastAsia="仿宋_GB2312"/>
          <w:color w:val="auto"/>
          <w:sz w:val="32"/>
          <w:szCs w:val="32"/>
        </w:rPr>
        <w:t>33</w:t>
      </w:r>
      <w:r w:rsidRPr="0013481E">
        <w:rPr>
          <w:rFonts w:eastAsia="仿宋_GB2312"/>
          <w:color w:val="auto"/>
          <w:sz w:val="32"/>
          <w:szCs w:val="32"/>
        </w:rPr>
        <w:t>件，增长</w:t>
      </w:r>
      <w:r w:rsidR="00EE76D2" w:rsidRPr="0013481E">
        <w:rPr>
          <w:rFonts w:eastAsia="仿宋_GB2312"/>
          <w:color w:val="auto"/>
          <w:sz w:val="32"/>
          <w:szCs w:val="32"/>
        </w:rPr>
        <w:t>120</w:t>
      </w:r>
      <w:r w:rsidRPr="0013481E">
        <w:rPr>
          <w:rFonts w:eastAsia="仿宋_GB2312"/>
          <w:color w:val="auto"/>
          <w:sz w:val="32"/>
          <w:szCs w:val="32"/>
        </w:rPr>
        <w:t>%</w:t>
      </w:r>
      <w:r w:rsidRPr="0013481E">
        <w:rPr>
          <w:rFonts w:eastAsia="仿宋_GB2312"/>
          <w:color w:val="auto"/>
          <w:sz w:val="32"/>
          <w:szCs w:val="32"/>
        </w:rPr>
        <w:t>。专利授权量</w:t>
      </w:r>
      <w:r w:rsidR="00EE76D2" w:rsidRPr="0013481E">
        <w:rPr>
          <w:rFonts w:eastAsia="仿宋_GB2312"/>
          <w:color w:val="auto"/>
          <w:sz w:val="32"/>
          <w:szCs w:val="32"/>
        </w:rPr>
        <w:t>37</w:t>
      </w:r>
      <w:r w:rsidRPr="0013481E">
        <w:rPr>
          <w:rFonts w:eastAsia="仿宋_GB2312"/>
          <w:color w:val="auto"/>
          <w:sz w:val="32"/>
          <w:szCs w:val="32"/>
        </w:rPr>
        <w:t>件，下降</w:t>
      </w:r>
      <w:r w:rsidR="00EE76D2" w:rsidRPr="0013481E">
        <w:rPr>
          <w:rFonts w:eastAsia="仿宋_GB2312"/>
          <w:color w:val="auto"/>
          <w:sz w:val="32"/>
          <w:szCs w:val="32"/>
        </w:rPr>
        <w:t>17.8</w:t>
      </w:r>
      <w:r w:rsidRPr="0013481E">
        <w:rPr>
          <w:rFonts w:eastAsia="仿宋_GB2312"/>
          <w:color w:val="auto"/>
          <w:sz w:val="32"/>
          <w:szCs w:val="32"/>
        </w:rPr>
        <w:t>%</w:t>
      </w:r>
      <w:r w:rsidRPr="0013481E">
        <w:rPr>
          <w:rFonts w:eastAsia="仿宋_GB2312"/>
          <w:color w:val="auto"/>
          <w:sz w:val="32"/>
          <w:szCs w:val="32"/>
        </w:rPr>
        <w:t>。其中：发明</w:t>
      </w:r>
      <w:r w:rsidR="00EE76D2" w:rsidRPr="0013481E">
        <w:rPr>
          <w:rFonts w:eastAsia="仿宋_GB2312"/>
          <w:color w:val="auto"/>
          <w:sz w:val="32"/>
          <w:szCs w:val="32"/>
        </w:rPr>
        <w:t>0</w:t>
      </w:r>
      <w:r w:rsidRPr="0013481E">
        <w:rPr>
          <w:rFonts w:eastAsia="仿宋_GB2312"/>
          <w:color w:val="auto"/>
          <w:sz w:val="32"/>
          <w:szCs w:val="32"/>
        </w:rPr>
        <w:t>件，</w:t>
      </w:r>
      <w:r w:rsidR="00EE76D2" w:rsidRPr="0013481E">
        <w:rPr>
          <w:rFonts w:eastAsia="仿宋_GB2312"/>
          <w:color w:val="auto"/>
          <w:sz w:val="32"/>
          <w:szCs w:val="32"/>
        </w:rPr>
        <w:t>下降</w:t>
      </w:r>
      <w:r w:rsidR="00EE76D2" w:rsidRPr="0013481E">
        <w:rPr>
          <w:rFonts w:eastAsia="仿宋_GB2312"/>
          <w:color w:val="auto"/>
          <w:sz w:val="32"/>
          <w:szCs w:val="32"/>
        </w:rPr>
        <w:t>100</w:t>
      </w:r>
      <w:r w:rsidRPr="0013481E">
        <w:rPr>
          <w:rFonts w:eastAsia="仿宋_GB2312"/>
          <w:color w:val="auto"/>
          <w:sz w:val="32"/>
          <w:szCs w:val="32"/>
        </w:rPr>
        <w:t>%</w:t>
      </w:r>
      <w:r w:rsidRPr="0013481E">
        <w:rPr>
          <w:rFonts w:eastAsia="仿宋_GB2312"/>
          <w:color w:val="auto"/>
          <w:sz w:val="32"/>
          <w:szCs w:val="32"/>
        </w:rPr>
        <w:t>；实用新型</w:t>
      </w:r>
      <w:r w:rsidR="00EE76D2" w:rsidRPr="0013481E">
        <w:rPr>
          <w:rFonts w:eastAsia="仿宋_GB2312"/>
          <w:color w:val="auto"/>
          <w:sz w:val="32"/>
          <w:szCs w:val="32"/>
        </w:rPr>
        <w:t>20</w:t>
      </w:r>
      <w:r w:rsidRPr="0013481E">
        <w:rPr>
          <w:rFonts w:eastAsia="仿宋_GB2312"/>
          <w:color w:val="auto"/>
          <w:sz w:val="32"/>
          <w:szCs w:val="32"/>
        </w:rPr>
        <w:t>件，下降</w:t>
      </w:r>
      <w:r w:rsidR="00EE76D2" w:rsidRPr="0013481E">
        <w:rPr>
          <w:rFonts w:eastAsia="仿宋_GB2312"/>
          <w:color w:val="auto"/>
          <w:sz w:val="32"/>
          <w:szCs w:val="32"/>
        </w:rPr>
        <w:t>23.1</w:t>
      </w:r>
      <w:r w:rsidRPr="0013481E">
        <w:rPr>
          <w:rFonts w:eastAsia="仿宋_GB2312"/>
          <w:color w:val="auto"/>
          <w:sz w:val="32"/>
          <w:szCs w:val="32"/>
        </w:rPr>
        <w:t>%</w:t>
      </w:r>
      <w:r w:rsidRPr="0013481E">
        <w:rPr>
          <w:rFonts w:eastAsia="仿宋_GB2312"/>
          <w:color w:val="auto"/>
          <w:sz w:val="32"/>
          <w:szCs w:val="32"/>
        </w:rPr>
        <w:t>；外观设计</w:t>
      </w:r>
      <w:r w:rsidR="00EE76D2" w:rsidRPr="0013481E">
        <w:rPr>
          <w:rFonts w:eastAsia="仿宋_GB2312"/>
          <w:color w:val="auto"/>
          <w:sz w:val="32"/>
          <w:szCs w:val="32"/>
        </w:rPr>
        <w:t>17</w:t>
      </w:r>
      <w:r w:rsidRPr="0013481E">
        <w:rPr>
          <w:rFonts w:eastAsia="仿宋_GB2312"/>
          <w:color w:val="auto"/>
          <w:sz w:val="32"/>
          <w:szCs w:val="32"/>
        </w:rPr>
        <w:t>件，</w:t>
      </w:r>
      <w:r w:rsidR="00EE76D2" w:rsidRPr="0013481E">
        <w:rPr>
          <w:rFonts w:eastAsia="仿宋_GB2312"/>
          <w:color w:val="auto"/>
          <w:sz w:val="32"/>
          <w:szCs w:val="32"/>
        </w:rPr>
        <w:t>与去年持平</w:t>
      </w:r>
      <w:r w:rsidRPr="0013481E">
        <w:rPr>
          <w:rFonts w:eastAsia="仿宋_GB2312"/>
          <w:color w:val="auto"/>
          <w:sz w:val="32"/>
          <w:szCs w:val="32"/>
        </w:rPr>
        <w:t>。</w:t>
      </w:r>
    </w:p>
    <w:p w:rsidR="00C20F00" w:rsidRPr="0013481E" w:rsidRDefault="00700FA9" w:rsidP="00554432">
      <w:pPr>
        <w:spacing w:afterLines="50" w:line="540" w:lineRule="exact"/>
        <w:ind w:left="0" w:firstLineChars="200" w:firstLine="640"/>
        <w:rPr>
          <w:rFonts w:eastAsia="仿宋_GB2312"/>
          <w:color w:val="auto"/>
          <w:sz w:val="32"/>
          <w:szCs w:val="32"/>
        </w:rPr>
      </w:pPr>
      <w:r w:rsidRPr="0013481E">
        <w:rPr>
          <w:rFonts w:eastAsia="仿宋_GB2312"/>
          <w:color w:val="auto"/>
          <w:sz w:val="32"/>
          <w:szCs w:val="32"/>
        </w:rPr>
        <w:t>年末，</w:t>
      </w:r>
      <w:r w:rsidR="00FA3E3F" w:rsidRPr="0013481E">
        <w:rPr>
          <w:rFonts w:eastAsia="仿宋_GB2312"/>
          <w:color w:val="auto"/>
          <w:sz w:val="32"/>
          <w:szCs w:val="32"/>
        </w:rPr>
        <w:t>全县事业单位共有专业技术人员</w:t>
      </w:r>
      <w:r w:rsidR="009C105F" w:rsidRPr="0013481E">
        <w:rPr>
          <w:rFonts w:eastAsia="仿宋_GB2312"/>
          <w:color w:val="auto"/>
          <w:sz w:val="32"/>
          <w:szCs w:val="32"/>
        </w:rPr>
        <w:t>3614</w:t>
      </w:r>
      <w:r w:rsidR="00FA3E3F" w:rsidRPr="0013481E">
        <w:rPr>
          <w:rFonts w:eastAsia="仿宋_GB2312"/>
          <w:color w:val="auto"/>
          <w:sz w:val="32"/>
          <w:szCs w:val="32"/>
        </w:rPr>
        <w:t>人，其中具有中级以上职称</w:t>
      </w:r>
      <w:r w:rsidR="00104596" w:rsidRPr="0013481E">
        <w:rPr>
          <w:rFonts w:eastAsia="仿宋_GB2312"/>
          <w:color w:val="auto"/>
          <w:sz w:val="32"/>
          <w:szCs w:val="32"/>
        </w:rPr>
        <w:t>235</w:t>
      </w:r>
      <w:r w:rsidR="009C105F" w:rsidRPr="0013481E">
        <w:rPr>
          <w:rFonts w:eastAsia="仿宋_GB2312"/>
          <w:color w:val="auto"/>
          <w:sz w:val="32"/>
          <w:szCs w:val="32"/>
        </w:rPr>
        <w:t>2</w:t>
      </w:r>
      <w:r w:rsidR="00FA3E3F" w:rsidRPr="0013481E">
        <w:rPr>
          <w:rFonts w:eastAsia="仿宋_GB2312"/>
          <w:color w:val="auto"/>
          <w:sz w:val="32"/>
          <w:szCs w:val="32"/>
        </w:rPr>
        <w:t>人。</w:t>
      </w:r>
    </w:p>
    <w:p w:rsidR="00FA3E3F" w:rsidRPr="0013481E" w:rsidRDefault="0038292E" w:rsidP="00554432">
      <w:pPr>
        <w:spacing w:afterLines="50" w:line="540" w:lineRule="exact"/>
        <w:ind w:left="0" w:firstLineChars="200" w:firstLine="640"/>
        <w:rPr>
          <w:rFonts w:eastAsia="仿宋_GB2312"/>
          <w:color w:val="auto"/>
          <w:sz w:val="32"/>
          <w:szCs w:val="32"/>
        </w:rPr>
      </w:pPr>
      <w:r w:rsidRPr="006C0CF1">
        <w:rPr>
          <w:rFonts w:eastAsia="仿宋_GB2312"/>
          <w:sz w:val="32"/>
          <w:szCs w:val="32"/>
        </w:rPr>
        <w:t>全县有完全中学</w:t>
      </w:r>
      <w:r w:rsidRPr="006C0CF1">
        <w:rPr>
          <w:rFonts w:eastAsia="仿宋_GB2312"/>
          <w:sz w:val="32"/>
          <w:szCs w:val="32"/>
        </w:rPr>
        <w:t>2</w:t>
      </w:r>
      <w:r w:rsidRPr="006C0CF1">
        <w:rPr>
          <w:rFonts w:eastAsia="仿宋_GB2312"/>
          <w:sz w:val="32"/>
          <w:szCs w:val="32"/>
        </w:rPr>
        <w:t>所、初级中学</w:t>
      </w:r>
      <w:r w:rsidR="00067A7A">
        <w:rPr>
          <w:rFonts w:eastAsia="仿宋_GB2312" w:hint="eastAsia"/>
          <w:sz w:val="32"/>
          <w:szCs w:val="32"/>
        </w:rPr>
        <w:t>10</w:t>
      </w:r>
      <w:r w:rsidRPr="006C0CF1">
        <w:rPr>
          <w:rFonts w:eastAsia="仿宋_GB2312"/>
          <w:sz w:val="32"/>
          <w:szCs w:val="32"/>
        </w:rPr>
        <w:t>所、九年一贯制</w:t>
      </w:r>
      <w:r w:rsidRPr="006C0CF1">
        <w:rPr>
          <w:rFonts w:eastAsia="仿宋_GB2312"/>
          <w:sz w:val="32"/>
          <w:szCs w:val="32"/>
        </w:rPr>
        <w:t>3</w:t>
      </w:r>
      <w:r w:rsidRPr="006C0CF1">
        <w:rPr>
          <w:rFonts w:eastAsia="仿宋_GB2312"/>
          <w:sz w:val="32"/>
          <w:szCs w:val="32"/>
        </w:rPr>
        <w:t>所，</w:t>
      </w:r>
      <w:r w:rsidR="00067A7A">
        <w:rPr>
          <w:rFonts w:eastAsia="仿宋_GB2312" w:hint="eastAsia"/>
          <w:sz w:val="32"/>
          <w:szCs w:val="32"/>
        </w:rPr>
        <w:t>在校学生</w:t>
      </w:r>
      <w:r w:rsidR="00067A7A">
        <w:rPr>
          <w:rFonts w:eastAsia="仿宋_GB2312" w:hint="eastAsia"/>
          <w:sz w:val="32"/>
          <w:szCs w:val="32"/>
        </w:rPr>
        <w:t>8695</w:t>
      </w:r>
      <w:r w:rsidR="00067A7A">
        <w:rPr>
          <w:rFonts w:eastAsia="仿宋_GB2312" w:hint="eastAsia"/>
          <w:sz w:val="32"/>
          <w:szCs w:val="32"/>
        </w:rPr>
        <w:t>人</w:t>
      </w:r>
      <w:r w:rsidRPr="006C0CF1">
        <w:rPr>
          <w:rFonts w:eastAsia="仿宋_GB2312"/>
          <w:sz w:val="32"/>
          <w:szCs w:val="32"/>
        </w:rPr>
        <w:t>，增长</w:t>
      </w:r>
      <w:r w:rsidRPr="006C0CF1">
        <w:rPr>
          <w:rFonts w:eastAsia="仿宋_GB2312"/>
          <w:sz w:val="32"/>
          <w:szCs w:val="32"/>
        </w:rPr>
        <w:t>0.</w:t>
      </w:r>
      <w:r w:rsidR="00067A7A">
        <w:rPr>
          <w:rFonts w:eastAsia="仿宋_GB2312" w:hint="eastAsia"/>
          <w:sz w:val="32"/>
          <w:szCs w:val="32"/>
        </w:rPr>
        <w:t>7</w:t>
      </w:r>
      <w:r w:rsidRPr="006C0CF1">
        <w:rPr>
          <w:rFonts w:eastAsia="仿宋_GB2312"/>
          <w:sz w:val="32"/>
          <w:szCs w:val="32"/>
        </w:rPr>
        <w:t>%</w:t>
      </w:r>
      <w:r w:rsidRPr="006C0CF1">
        <w:rPr>
          <w:rFonts w:eastAsia="仿宋_GB2312"/>
          <w:sz w:val="32"/>
          <w:szCs w:val="32"/>
        </w:rPr>
        <w:t>；职业中学</w:t>
      </w:r>
      <w:r w:rsidRPr="006C0CF1">
        <w:rPr>
          <w:rFonts w:eastAsia="仿宋_GB2312"/>
          <w:sz w:val="32"/>
          <w:szCs w:val="32"/>
        </w:rPr>
        <w:t>1</w:t>
      </w:r>
      <w:r w:rsidRPr="006C0CF1">
        <w:rPr>
          <w:rFonts w:eastAsia="仿宋_GB2312"/>
          <w:sz w:val="32"/>
          <w:szCs w:val="32"/>
        </w:rPr>
        <w:t>间，在校学生</w:t>
      </w:r>
      <w:r w:rsidRPr="006C0CF1">
        <w:rPr>
          <w:rFonts w:eastAsia="仿宋_GB2312"/>
          <w:sz w:val="32"/>
          <w:szCs w:val="32"/>
        </w:rPr>
        <w:t>874</w:t>
      </w:r>
      <w:r w:rsidRPr="006C0CF1">
        <w:rPr>
          <w:rFonts w:eastAsia="仿宋_GB2312"/>
          <w:sz w:val="32"/>
          <w:szCs w:val="32"/>
        </w:rPr>
        <w:t>人；完全小学</w:t>
      </w:r>
      <w:r w:rsidRPr="006C0CF1">
        <w:rPr>
          <w:rFonts w:eastAsia="仿宋_GB2312"/>
          <w:sz w:val="32"/>
          <w:szCs w:val="32"/>
        </w:rPr>
        <w:t>1</w:t>
      </w:r>
      <w:r w:rsidR="00067A7A">
        <w:rPr>
          <w:rFonts w:eastAsia="仿宋_GB2312" w:hint="eastAsia"/>
          <w:sz w:val="32"/>
          <w:szCs w:val="32"/>
        </w:rPr>
        <w:t>7</w:t>
      </w:r>
      <w:r w:rsidRPr="006C0CF1">
        <w:rPr>
          <w:rFonts w:eastAsia="仿宋_GB2312"/>
          <w:sz w:val="32"/>
          <w:szCs w:val="32"/>
        </w:rPr>
        <w:t>间，在校学生人数</w:t>
      </w:r>
      <w:r w:rsidR="00067A7A">
        <w:rPr>
          <w:rFonts w:eastAsia="仿宋_GB2312" w:hint="eastAsia"/>
          <w:sz w:val="32"/>
          <w:szCs w:val="32"/>
        </w:rPr>
        <w:t>13376</w:t>
      </w:r>
      <w:r w:rsidRPr="006C0CF1">
        <w:rPr>
          <w:rFonts w:eastAsia="仿宋_GB2312"/>
          <w:sz w:val="32"/>
          <w:szCs w:val="32"/>
        </w:rPr>
        <w:t>人，比上年同期增长</w:t>
      </w:r>
      <w:r w:rsidRPr="006C0CF1">
        <w:rPr>
          <w:rFonts w:eastAsia="仿宋_GB2312"/>
          <w:sz w:val="32"/>
          <w:szCs w:val="32"/>
        </w:rPr>
        <w:t>3.</w:t>
      </w:r>
      <w:r w:rsidR="00067A7A">
        <w:rPr>
          <w:rFonts w:eastAsia="仿宋_GB2312" w:hint="eastAsia"/>
          <w:sz w:val="32"/>
          <w:szCs w:val="32"/>
        </w:rPr>
        <w:t>96</w:t>
      </w:r>
      <w:r w:rsidRPr="006C0CF1">
        <w:rPr>
          <w:rFonts w:eastAsia="仿宋_GB2312"/>
          <w:sz w:val="32"/>
          <w:szCs w:val="32"/>
        </w:rPr>
        <w:t>%</w:t>
      </w:r>
      <w:r w:rsidRPr="006C0CF1">
        <w:rPr>
          <w:rFonts w:eastAsia="仿宋_GB2312"/>
          <w:sz w:val="32"/>
          <w:szCs w:val="32"/>
        </w:rPr>
        <w:t>。</w:t>
      </w:r>
      <w:r w:rsidRPr="006C0CF1">
        <w:rPr>
          <w:rFonts w:eastAsia="仿宋_GB2312"/>
          <w:sz w:val="32"/>
          <w:szCs w:val="32"/>
        </w:rPr>
        <w:t>2017</w:t>
      </w:r>
      <w:r w:rsidRPr="006C0CF1">
        <w:rPr>
          <w:rFonts w:eastAsia="仿宋_GB2312"/>
          <w:sz w:val="32"/>
          <w:szCs w:val="32"/>
        </w:rPr>
        <w:t>年适龄儿童入学率</w:t>
      </w:r>
      <w:r w:rsidRPr="006C0CF1">
        <w:rPr>
          <w:rFonts w:eastAsia="仿宋_GB2312"/>
          <w:sz w:val="32"/>
          <w:szCs w:val="32"/>
        </w:rPr>
        <w:t>100%</w:t>
      </w:r>
      <w:r w:rsidRPr="006C0CF1">
        <w:rPr>
          <w:rFonts w:eastAsia="仿宋_GB2312"/>
          <w:sz w:val="32"/>
          <w:szCs w:val="32"/>
        </w:rPr>
        <w:t>；小学生升学率</w:t>
      </w:r>
      <w:r w:rsidRPr="006C0CF1">
        <w:rPr>
          <w:rFonts w:eastAsia="仿宋_GB2312"/>
          <w:sz w:val="32"/>
          <w:szCs w:val="32"/>
        </w:rPr>
        <w:t>100%</w:t>
      </w:r>
      <w:r w:rsidRPr="006C0CF1">
        <w:rPr>
          <w:rFonts w:eastAsia="仿宋_GB2312"/>
          <w:sz w:val="32"/>
          <w:szCs w:val="32"/>
        </w:rPr>
        <w:t>；初中学生升学率</w:t>
      </w:r>
      <w:r w:rsidRPr="006C0CF1">
        <w:rPr>
          <w:rFonts w:eastAsia="仿宋_GB2312"/>
          <w:sz w:val="32"/>
          <w:szCs w:val="32"/>
        </w:rPr>
        <w:t>98.3%</w:t>
      </w:r>
      <w:r w:rsidRPr="006C0CF1">
        <w:rPr>
          <w:rFonts w:eastAsia="仿宋_GB2312"/>
          <w:sz w:val="32"/>
          <w:szCs w:val="32"/>
        </w:rPr>
        <w:t>；高中学生升学率</w:t>
      </w:r>
      <w:r w:rsidRPr="006C0CF1">
        <w:rPr>
          <w:rFonts w:eastAsia="仿宋_GB2312"/>
          <w:sz w:val="32"/>
          <w:szCs w:val="32"/>
        </w:rPr>
        <w:t>92.3%</w:t>
      </w:r>
      <w:r w:rsidRPr="006C0CF1">
        <w:rPr>
          <w:rFonts w:eastAsia="仿宋_GB2312"/>
          <w:sz w:val="32"/>
          <w:szCs w:val="32"/>
        </w:rPr>
        <w:t>。考入大专以上的人数</w:t>
      </w:r>
      <w:r w:rsidRPr="006C0CF1">
        <w:rPr>
          <w:rFonts w:eastAsia="仿宋_GB2312"/>
          <w:sz w:val="32"/>
          <w:szCs w:val="32"/>
        </w:rPr>
        <w:t>1256</w:t>
      </w:r>
      <w:r w:rsidRPr="006C0CF1">
        <w:rPr>
          <w:rFonts w:eastAsia="仿宋_GB2312"/>
          <w:sz w:val="32"/>
          <w:szCs w:val="32"/>
        </w:rPr>
        <w:t>人，比上年增长</w:t>
      </w:r>
      <w:r w:rsidRPr="006C0CF1">
        <w:rPr>
          <w:rFonts w:eastAsia="仿宋_GB2312"/>
          <w:sz w:val="32"/>
          <w:szCs w:val="32"/>
        </w:rPr>
        <w:t>2</w:t>
      </w:r>
      <w:r w:rsidRPr="006C0CF1">
        <w:rPr>
          <w:rFonts w:eastAsia="仿宋_GB2312"/>
          <w:sz w:val="32"/>
          <w:szCs w:val="32"/>
        </w:rPr>
        <w:t>个百分点，其中本科</w:t>
      </w:r>
      <w:r w:rsidRPr="006C0CF1">
        <w:rPr>
          <w:rFonts w:eastAsia="仿宋_GB2312"/>
          <w:sz w:val="32"/>
          <w:szCs w:val="32"/>
        </w:rPr>
        <w:t>607</w:t>
      </w:r>
      <w:r w:rsidRPr="006C0CF1">
        <w:rPr>
          <w:rFonts w:eastAsia="仿宋_GB2312"/>
          <w:sz w:val="32"/>
          <w:szCs w:val="32"/>
        </w:rPr>
        <w:t>人。</w:t>
      </w:r>
    </w:p>
    <w:p w:rsidR="00FA3E3F" w:rsidRPr="0013481E" w:rsidRDefault="004056A3" w:rsidP="00554432">
      <w:pPr>
        <w:spacing w:afterLines="50" w:line="540" w:lineRule="exact"/>
        <w:ind w:left="0" w:firstLineChars="200" w:firstLine="640"/>
        <w:rPr>
          <w:rFonts w:eastAsia="仿宋_GB2312"/>
          <w:sz w:val="32"/>
          <w:szCs w:val="32"/>
        </w:rPr>
      </w:pPr>
      <w:r w:rsidRPr="00067A7A">
        <w:rPr>
          <w:rFonts w:eastAsia="仿宋_GB2312"/>
          <w:noProof/>
          <w:sz w:val="32"/>
          <w:szCs w:val="32"/>
        </w:rPr>
        <w:drawing>
          <wp:anchor distT="0" distB="0" distL="114300" distR="114300" simplePos="0" relativeHeight="251684864" behindDoc="0" locked="0" layoutInCell="1" allowOverlap="1">
            <wp:simplePos x="0" y="0"/>
            <wp:positionH relativeFrom="column">
              <wp:posOffset>33655</wp:posOffset>
            </wp:positionH>
            <wp:positionV relativeFrom="paragraph">
              <wp:posOffset>2028825</wp:posOffset>
            </wp:positionV>
            <wp:extent cx="5924550" cy="2562225"/>
            <wp:effectExtent l="0" t="0" r="0" b="0"/>
            <wp:wrapTopAndBottom/>
            <wp:docPr id="13"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FA3E3F" w:rsidRPr="00067A7A">
        <w:rPr>
          <w:rFonts w:eastAsia="仿宋_GB2312"/>
          <w:sz w:val="32"/>
          <w:szCs w:val="32"/>
        </w:rPr>
        <w:t>年末黄桂清图书馆有藏书</w:t>
      </w:r>
      <w:r w:rsidR="00226B34" w:rsidRPr="00067A7A">
        <w:rPr>
          <w:rFonts w:eastAsia="仿宋_GB2312"/>
          <w:sz w:val="32"/>
          <w:szCs w:val="32"/>
        </w:rPr>
        <w:t>22.2</w:t>
      </w:r>
      <w:r w:rsidR="00FA3E3F" w:rsidRPr="00067A7A">
        <w:rPr>
          <w:rFonts w:eastAsia="仿宋_GB2312"/>
          <w:sz w:val="32"/>
          <w:szCs w:val="32"/>
        </w:rPr>
        <w:t>万册，法刚博物馆馆藏物品</w:t>
      </w:r>
      <w:r w:rsidR="00167542" w:rsidRPr="00067A7A">
        <w:rPr>
          <w:rFonts w:eastAsia="仿宋_GB2312"/>
          <w:sz w:val="32"/>
          <w:szCs w:val="32"/>
        </w:rPr>
        <w:t>8531</w:t>
      </w:r>
      <w:r w:rsidR="00FA3E3F" w:rsidRPr="00067A7A">
        <w:rPr>
          <w:rFonts w:eastAsia="仿宋_GB2312"/>
          <w:sz w:val="32"/>
          <w:szCs w:val="32"/>
        </w:rPr>
        <w:t>件。积极组织文化</w:t>
      </w:r>
      <w:r w:rsidR="00FA3E3F" w:rsidRPr="00067A7A">
        <w:rPr>
          <w:rFonts w:eastAsia="仿宋_GB2312"/>
          <w:sz w:val="32"/>
          <w:szCs w:val="32"/>
        </w:rPr>
        <w:t>“</w:t>
      </w:r>
      <w:r w:rsidR="00FA3E3F" w:rsidRPr="00067A7A">
        <w:rPr>
          <w:rFonts w:eastAsia="仿宋_GB2312"/>
          <w:sz w:val="32"/>
          <w:szCs w:val="32"/>
        </w:rPr>
        <w:t>三下乡</w:t>
      </w:r>
      <w:r w:rsidR="00FA3E3F" w:rsidRPr="00067A7A">
        <w:rPr>
          <w:rFonts w:eastAsia="仿宋_GB2312"/>
          <w:sz w:val="32"/>
          <w:szCs w:val="32"/>
        </w:rPr>
        <w:t>”</w:t>
      </w:r>
      <w:r w:rsidR="00FA3E3F" w:rsidRPr="00067A7A">
        <w:rPr>
          <w:rFonts w:eastAsia="仿宋_GB2312"/>
          <w:sz w:val="32"/>
          <w:szCs w:val="32"/>
        </w:rPr>
        <w:t>活动，今年共组织送戏下乡</w:t>
      </w:r>
      <w:r w:rsidR="00226B34" w:rsidRPr="00067A7A">
        <w:rPr>
          <w:rFonts w:eastAsia="仿宋_GB2312"/>
          <w:sz w:val="32"/>
          <w:szCs w:val="32"/>
        </w:rPr>
        <w:t>20</w:t>
      </w:r>
      <w:r w:rsidR="00FA3E3F" w:rsidRPr="00067A7A">
        <w:rPr>
          <w:rFonts w:eastAsia="仿宋_GB2312"/>
          <w:sz w:val="32"/>
          <w:szCs w:val="32"/>
        </w:rPr>
        <w:t>场，送电影下乡</w:t>
      </w:r>
      <w:r w:rsidR="00226B34" w:rsidRPr="00067A7A">
        <w:rPr>
          <w:rFonts w:eastAsia="仿宋_GB2312"/>
          <w:sz w:val="32"/>
          <w:szCs w:val="32"/>
        </w:rPr>
        <w:t>1164</w:t>
      </w:r>
      <w:r w:rsidR="00FA3E3F" w:rsidRPr="00067A7A">
        <w:rPr>
          <w:rFonts w:eastAsia="仿宋_GB2312"/>
          <w:sz w:val="32"/>
          <w:szCs w:val="32"/>
        </w:rPr>
        <w:t>场，送书下乡</w:t>
      </w:r>
      <w:r w:rsidR="00226B34" w:rsidRPr="00067A7A">
        <w:rPr>
          <w:rFonts w:eastAsia="仿宋_GB2312"/>
          <w:sz w:val="32"/>
          <w:szCs w:val="32"/>
        </w:rPr>
        <w:t>31000</w:t>
      </w:r>
      <w:r w:rsidR="00FA3E3F" w:rsidRPr="00067A7A">
        <w:rPr>
          <w:rFonts w:eastAsia="仿宋_GB2312"/>
          <w:sz w:val="32"/>
          <w:szCs w:val="32"/>
        </w:rPr>
        <w:t>册，受教育人数达</w:t>
      </w:r>
      <w:r w:rsidR="00226B34" w:rsidRPr="00067A7A">
        <w:rPr>
          <w:rFonts w:eastAsia="仿宋_GB2312"/>
          <w:sz w:val="32"/>
          <w:szCs w:val="32"/>
        </w:rPr>
        <w:t>83.2</w:t>
      </w:r>
      <w:r w:rsidR="00FA3E3F" w:rsidRPr="00067A7A">
        <w:rPr>
          <w:rFonts w:eastAsia="仿宋_GB2312"/>
          <w:sz w:val="32"/>
          <w:szCs w:val="32"/>
        </w:rPr>
        <w:t>万人次。广播电视业不断发展。全县有</w:t>
      </w:r>
      <w:r w:rsidR="00FA3E3F" w:rsidRPr="00067A7A">
        <w:rPr>
          <w:rFonts w:eastAsia="仿宋_GB2312"/>
          <w:sz w:val="32"/>
          <w:szCs w:val="32"/>
        </w:rPr>
        <w:t>300</w:t>
      </w:r>
      <w:r w:rsidR="00FA3E3F" w:rsidRPr="00067A7A">
        <w:rPr>
          <w:rFonts w:eastAsia="仿宋_GB2312"/>
          <w:sz w:val="32"/>
          <w:szCs w:val="32"/>
        </w:rPr>
        <w:t>瓦立体声调频广播电台</w:t>
      </w:r>
      <w:r w:rsidR="00FA3E3F" w:rsidRPr="00067A7A">
        <w:rPr>
          <w:rFonts w:eastAsia="仿宋_GB2312"/>
          <w:sz w:val="32"/>
          <w:szCs w:val="32"/>
        </w:rPr>
        <w:t>1</w:t>
      </w:r>
      <w:r w:rsidR="00FA3E3F" w:rsidRPr="00067A7A">
        <w:rPr>
          <w:rFonts w:eastAsia="仿宋_GB2312"/>
          <w:sz w:val="32"/>
          <w:szCs w:val="32"/>
        </w:rPr>
        <w:t>座，有线电视</w:t>
      </w:r>
      <w:r w:rsidR="00A41169" w:rsidRPr="00067A7A">
        <w:rPr>
          <w:rFonts w:eastAsia="仿宋_GB2312" w:hint="eastAsia"/>
          <w:sz w:val="32"/>
          <w:szCs w:val="32"/>
        </w:rPr>
        <w:t>在用</w:t>
      </w:r>
      <w:r w:rsidR="00FA3E3F" w:rsidRPr="00067A7A">
        <w:rPr>
          <w:rFonts w:eastAsia="仿宋_GB2312"/>
          <w:sz w:val="32"/>
          <w:szCs w:val="32"/>
        </w:rPr>
        <w:t>用户</w:t>
      </w:r>
      <w:r w:rsidR="00226B34" w:rsidRPr="00067A7A">
        <w:rPr>
          <w:rFonts w:eastAsia="仿宋_GB2312"/>
          <w:sz w:val="32"/>
          <w:szCs w:val="32"/>
        </w:rPr>
        <w:t>2.39</w:t>
      </w:r>
      <w:r w:rsidR="00FA3E3F" w:rsidRPr="00067A7A">
        <w:rPr>
          <w:rFonts w:eastAsia="仿宋_GB2312"/>
          <w:sz w:val="32"/>
          <w:szCs w:val="32"/>
        </w:rPr>
        <w:t>万户，城乡入户率</w:t>
      </w:r>
      <w:r w:rsidR="001C1F87" w:rsidRPr="00067A7A">
        <w:rPr>
          <w:rFonts w:eastAsia="仿宋_GB2312"/>
          <w:sz w:val="32"/>
          <w:szCs w:val="32"/>
        </w:rPr>
        <w:t>95</w:t>
      </w:r>
      <w:r w:rsidR="00FA3E3F" w:rsidRPr="00067A7A">
        <w:rPr>
          <w:rFonts w:eastAsia="仿宋_GB2312"/>
          <w:sz w:val="32"/>
          <w:szCs w:val="32"/>
        </w:rPr>
        <w:t>%</w:t>
      </w:r>
      <w:r w:rsidR="00FA3E3F" w:rsidRPr="00067A7A">
        <w:rPr>
          <w:rFonts w:eastAsia="仿宋_GB2312"/>
          <w:sz w:val="32"/>
          <w:szCs w:val="32"/>
        </w:rPr>
        <w:t>，电视覆盖率</w:t>
      </w:r>
      <w:r w:rsidR="00FA3E3F" w:rsidRPr="0013481E">
        <w:rPr>
          <w:rFonts w:eastAsia="仿宋_GB2312"/>
          <w:sz w:val="32"/>
          <w:szCs w:val="32"/>
        </w:rPr>
        <w:lastRenderedPageBreak/>
        <w:t>9</w:t>
      </w:r>
      <w:r w:rsidR="00226B34" w:rsidRPr="0013481E">
        <w:rPr>
          <w:rFonts w:eastAsia="仿宋_GB2312"/>
          <w:sz w:val="32"/>
          <w:szCs w:val="32"/>
        </w:rPr>
        <w:t>8.3</w:t>
      </w:r>
      <w:r w:rsidR="00FA3E3F" w:rsidRPr="0013481E">
        <w:rPr>
          <w:rFonts w:eastAsia="仿宋_GB2312"/>
          <w:sz w:val="32"/>
          <w:szCs w:val="32"/>
        </w:rPr>
        <w:t>%</w:t>
      </w:r>
      <w:r w:rsidR="00FA3E3F" w:rsidRPr="0013481E">
        <w:rPr>
          <w:rFonts w:eastAsia="仿宋_GB2312"/>
          <w:sz w:val="32"/>
          <w:szCs w:val="32"/>
        </w:rPr>
        <w:t>。</w:t>
      </w:r>
    </w:p>
    <w:p w:rsidR="00621B88"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年末全县共有各种卫生机构</w:t>
      </w:r>
      <w:r w:rsidR="00226B34" w:rsidRPr="0013481E">
        <w:rPr>
          <w:rFonts w:eastAsia="仿宋_GB2312"/>
          <w:sz w:val="32"/>
          <w:szCs w:val="32"/>
        </w:rPr>
        <w:t>163</w:t>
      </w:r>
      <w:r w:rsidRPr="0013481E">
        <w:rPr>
          <w:rFonts w:eastAsia="仿宋_GB2312"/>
          <w:sz w:val="32"/>
          <w:szCs w:val="32"/>
        </w:rPr>
        <w:t>个，床位</w:t>
      </w:r>
      <w:r w:rsidR="00226B34" w:rsidRPr="0013481E">
        <w:rPr>
          <w:rFonts w:eastAsia="仿宋_GB2312"/>
          <w:sz w:val="32"/>
          <w:szCs w:val="32"/>
        </w:rPr>
        <w:t>797</w:t>
      </w:r>
      <w:r w:rsidRPr="0013481E">
        <w:rPr>
          <w:rFonts w:eastAsia="仿宋_GB2312"/>
          <w:sz w:val="32"/>
          <w:szCs w:val="32"/>
        </w:rPr>
        <w:t>张，平均每万人拥有病床</w:t>
      </w:r>
      <w:r w:rsidR="00226B34" w:rsidRPr="0013481E">
        <w:rPr>
          <w:rFonts w:eastAsia="仿宋_GB2312"/>
          <w:sz w:val="32"/>
          <w:szCs w:val="32"/>
        </w:rPr>
        <w:t>33.57</w:t>
      </w:r>
      <w:r w:rsidRPr="0013481E">
        <w:rPr>
          <w:rFonts w:eastAsia="仿宋_GB2312"/>
          <w:sz w:val="32"/>
          <w:szCs w:val="32"/>
        </w:rPr>
        <w:t>张。卫生专业技术人员有</w:t>
      </w:r>
      <w:r w:rsidR="00B513B8" w:rsidRPr="0013481E">
        <w:rPr>
          <w:rFonts w:eastAsia="仿宋_GB2312"/>
          <w:sz w:val="32"/>
          <w:szCs w:val="32"/>
        </w:rPr>
        <w:t>1101</w:t>
      </w:r>
      <w:r w:rsidRPr="0013481E">
        <w:rPr>
          <w:rFonts w:eastAsia="仿宋_GB2312"/>
          <w:sz w:val="32"/>
          <w:szCs w:val="32"/>
        </w:rPr>
        <w:t>人，其中执业医师</w:t>
      </w:r>
      <w:r w:rsidR="00B513B8" w:rsidRPr="0013481E">
        <w:rPr>
          <w:rFonts w:eastAsia="仿宋_GB2312"/>
          <w:sz w:val="32"/>
          <w:szCs w:val="32"/>
        </w:rPr>
        <w:t>341</w:t>
      </w:r>
      <w:r w:rsidRPr="0013481E">
        <w:rPr>
          <w:rFonts w:eastAsia="仿宋_GB2312"/>
          <w:sz w:val="32"/>
          <w:szCs w:val="32"/>
        </w:rPr>
        <w:t>人、助理执业医师</w:t>
      </w:r>
      <w:r w:rsidR="00167542" w:rsidRPr="0013481E">
        <w:rPr>
          <w:rFonts w:eastAsia="仿宋_GB2312"/>
          <w:sz w:val="32"/>
          <w:szCs w:val="32"/>
        </w:rPr>
        <w:t>11</w:t>
      </w:r>
      <w:r w:rsidR="00B513B8" w:rsidRPr="0013481E">
        <w:rPr>
          <w:rFonts w:eastAsia="仿宋_GB2312"/>
          <w:sz w:val="32"/>
          <w:szCs w:val="32"/>
        </w:rPr>
        <w:t>9</w:t>
      </w:r>
      <w:r w:rsidRPr="0013481E">
        <w:rPr>
          <w:rFonts w:eastAsia="仿宋_GB2312"/>
          <w:sz w:val="32"/>
          <w:szCs w:val="32"/>
        </w:rPr>
        <w:t>人、注册护士</w:t>
      </w:r>
      <w:r w:rsidR="00B513B8" w:rsidRPr="0013481E">
        <w:rPr>
          <w:rFonts w:eastAsia="仿宋_GB2312"/>
          <w:sz w:val="32"/>
          <w:szCs w:val="32"/>
        </w:rPr>
        <w:t>403</w:t>
      </w:r>
      <w:r w:rsidRPr="0013481E">
        <w:rPr>
          <w:rFonts w:eastAsia="仿宋_GB2312"/>
          <w:sz w:val="32"/>
          <w:szCs w:val="32"/>
        </w:rPr>
        <w:t>人。平均每万人拥有卫生技术人员</w:t>
      </w:r>
      <w:r w:rsidR="00B513B8" w:rsidRPr="0013481E">
        <w:rPr>
          <w:rFonts w:eastAsia="仿宋_GB2312"/>
          <w:sz w:val="32"/>
          <w:szCs w:val="32"/>
        </w:rPr>
        <w:t>46.37</w:t>
      </w:r>
      <w:r w:rsidR="000B58F4" w:rsidRPr="0013481E">
        <w:rPr>
          <w:rFonts w:eastAsia="仿宋_GB2312"/>
          <w:sz w:val="32"/>
          <w:szCs w:val="32"/>
        </w:rPr>
        <w:t>人，平均每万人</w:t>
      </w:r>
      <w:r w:rsidR="00B513B8" w:rsidRPr="0013481E">
        <w:rPr>
          <w:rFonts w:eastAsia="仿宋_GB2312"/>
          <w:sz w:val="32"/>
          <w:szCs w:val="32"/>
        </w:rPr>
        <w:t>全科</w:t>
      </w:r>
      <w:r w:rsidR="000B58F4" w:rsidRPr="0013481E">
        <w:rPr>
          <w:rFonts w:eastAsia="仿宋_GB2312"/>
          <w:sz w:val="32"/>
          <w:szCs w:val="32"/>
        </w:rPr>
        <w:t>医生数</w:t>
      </w:r>
      <w:r w:rsidR="00B513B8" w:rsidRPr="0013481E">
        <w:rPr>
          <w:rFonts w:eastAsia="仿宋_GB2312"/>
          <w:sz w:val="32"/>
          <w:szCs w:val="32"/>
        </w:rPr>
        <w:t>6</w:t>
      </w:r>
      <w:r w:rsidR="000B58F4" w:rsidRPr="0013481E">
        <w:rPr>
          <w:rFonts w:eastAsia="仿宋_GB2312"/>
          <w:sz w:val="32"/>
          <w:szCs w:val="32"/>
        </w:rPr>
        <w:t>人。</w:t>
      </w:r>
      <w:r w:rsidRPr="0013481E">
        <w:rPr>
          <w:rFonts w:eastAsia="仿宋_GB2312"/>
          <w:sz w:val="32"/>
          <w:szCs w:val="32"/>
        </w:rPr>
        <w:t xml:space="preserve"> </w:t>
      </w:r>
    </w:p>
    <w:p w:rsidR="00FA3E3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全县共</w:t>
      </w:r>
      <w:r w:rsidR="004E1A47" w:rsidRPr="0013481E">
        <w:rPr>
          <w:rFonts w:eastAsia="仿宋_GB2312"/>
          <w:sz w:val="32"/>
          <w:szCs w:val="32"/>
        </w:rPr>
        <w:t>有</w:t>
      </w:r>
      <w:r w:rsidRPr="0013481E">
        <w:rPr>
          <w:rFonts w:eastAsia="仿宋_GB2312"/>
          <w:sz w:val="32"/>
          <w:szCs w:val="32"/>
        </w:rPr>
        <w:t>各类体育场、馆</w:t>
      </w:r>
      <w:r w:rsidR="006F495C" w:rsidRPr="0013481E">
        <w:rPr>
          <w:rFonts w:eastAsia="仿宋_GB2312"/>
          <w:sz w:val="32"/>
          <w:szCs w:val="32"/>
        </w:rPr>
        <w:t>2</w:t>
      </w:r>
      <w:r w:rsidRPr="0013481E">
        <w:rPr>
          <w:rFonts w:eastAsia="仿宋_GB2312"/>
          <w:sz w:val="32"/>
          <w:szCs w:val="32"/>
        </w:rPr>
        <w:t>个，其中标准运动场</w:t>
      </w:r>
      <w:r w:rsidR="006F495C" w:rsidRPr="0013481E">
        <w:rPr>
          <w:rFonts w:eastAsia="仿宋_GB2312"/>
          <w:sz w:val="32"/>
          <w:szCs w:val="32"/>
        </w:rPr>
        <w:t>1</w:t>
      </w:r>
      <w:r w:rsidRPr="0013481E">
        <w:rPr>
          <w:rFonts w:eastAsia="仿宋_GB2312"/>
          <w:sz w:val="32"/>
          <w:szCs w:val="32"/>
        </w:rPr>
        <w:t>个</w:t>
      </w:r>
      <w:r w:rsidR="006F495C" w:rsidRPr="0013481E">
        <w:rPr>
          <w:rFonts w:eastAsia="仿宋_GB2312"/>
          <w:sz w:val="32"/>
          <w:szCs w:val="32"/>
        </w:rPr>
        <w:t>；</w:t>
      </w:r>
      <w:r w:rsidR="003877E0" w:rsidRPr="0013481E">
        <w:rPr>
          <w:rFonts w:eastAsia="仿宋_GB2312"/>
          <w:sz w:val="32"/>
          <w:szCs w:val="32"/>
        </w:rPr>
        <w:t>共召开了各大中型运动会</w:t>
      </w:r>
      <w:r w:rsidR="006F495C" w:rsidRPr="0013481E">
        <w:rPr>
          <w:rFonts w:eastAsia="仿宋_GB2312"/>
          <w:sz w:val="32"/>
          <w:szCs w:val="32"/>
        </w:rPr>
        <w:t>2</w:t>
      </w:r>
      <w:r w:rsidR="003877E0" w:rsidRPr="0013481E">
        <w:rPr>
          <w:rFonts w:eastAsia="仿宋_GB2312"/>
          <w:sz w:val="32"/>
          <w:szCs w:val="32"/>
        </w:rPr>
        <w:t>场，参加人数</w:t>
      </w:r>
      <w:r w:rsidR="006F495C" w:rsidRPr="0013481E">
        <w:rPr>
          <w:rFonts w:eastAsia="仿宋_GB2312"/>
          <w:sz w:val="32"/>
          <w:szCs w:val="32"/>
        </w:rPr>
        <w:t>2000</w:t>
      </w:r>
      <w:r w:rsidR="006F495C" w:rsidRPr="0013481E">
        <w:rPr>
          <w:rFonts w:eastAsia="仿宋_GB2312"/>
          <w:sz w:val="32"/>
          <w:szCs w:val="32"/>
        </w:rPr>
        <w:t>人。</w:t>
      </w:r>
      <w:r w:rsidRPr="0013481E">
        <w:rPr>
          <w:rFonts w:eastAsia="仿宋_GB2312"/>
          <w:sz w:val="32"/>
          <w:szCs w:val="32"/>
        </w:rPr>
        <w:t>全县</w:t>
      </w:r>
      <w:r w:rsidR="00B67975" w:rsidRPr="0013481E">
        <w:rPr>
          <w:rFonts w:eastAsia="仿宋_GB2312"/>
          <w:sz w:val="32"/>
          <w:szCs w:val="32"/>
        </w:rPr>
        <w:t>体育健儿在省、市运动会中获得了</w:t>
      </w:r>
      <w:r w:rsidR="006F495C" w:rsidRPr="0013481E">
        <w:rPr>
          <w:rFonts w:eastAsia="仿宋_GB2312"/>
          <w:sz w:val="32"/>
          <w:szCs w:val="32"/>
        </w:rPr>
        <w:t>3</w:t>
      </w:r>
      <w:r w:rsidR="000B58F4" w:rsidRPr="0013481E">
        <w:rPr>
          <w:rFonts w:eastAsia="仿宋_GB2312"/>
          <w:sz w:val="32"/>
          <w:szCs w:val="32"/>
        </w:rPr>
        <w:t>6</w:t>
      </w:r>
      <w:r w:rsidR="00B67975" w:rsidRPr="0013481E">
        <w:rPr>
          <w:rFonts w:eastAsia="仿宋_GB2312"/>
          <w:sz w:val="32"/>
          <w:szCs w:val="32"/>
        </w:rPr>
        <w:t>块奖牌</w:t>
      </w:r>
      <w:r w:rsidR="000F6DD1" w:rsidRPr="0013481E">
        <w:rPr>
          <w:rFonts w:eastAsia="仿宋_GB2312"/>
          <w:sz w:val="32"/>
          <w:szCs w:val="32"/>
        </w:rPr>
        <w:t>，其中金牌</w:t>
      </w:r>
      <w:r w:rsidR="006F495C" w:rsidRPr="0013481E">
        <w:rPr>
          <w:rFonts w:eastAsia="仿宋_GB2312"/>
          <w:sz w:val="32"/>
          <w:szCs w:val="32"/>
        </w:rPr>
        <w:t>16</w:t>
      </w:r>
      <w:r w:rsidR="000F6DD1" w:rsidRPr="0013481E">
        <w:rPr>
          <w:rFonts w:eastAsia="仿宋_GB2312"/>
          <w:sz w:val="32"/>
          <w:szCs w:val="32"/>
        </w:rPr>
        <w:t>块、</w:t>
      </w:r>
      <w:r w:rsidR="006F495C" w:rsidRPr="0013481E">
        <w:rPr>
          <w:rFonts w:eastAsia="仿宋_GB2312"/>
          <w:sz w:val="32"/>
          <w:szCs w:val="32"/>
        </w:rPr>
        <w:t>银牌</w:t>
      </w:r>
      <w:r w:rsidR="006F495C" w:rsidRPr="0013481E">
        <w:rPr>
          <w:rFonts w:eastAsia="仿宋_GB2312"/>
          <w:sz w:val="32"/>
          <w:szCs w:val="32"/>
        </w:rPr>
        <w:t>11</w:t>
      </w:r>
      <w:r w:rsidR="006F495C" w:rsidRPr="0013481E">
        <w:rPr>
          <w:rFonts w:eastAsia="仿宋_GB2312"/>
          <w:sz w:val="32"/>
          <w:szCs w:val="32"/>
        </w:rPr>
        <w:t>、</w:t>
      </w:r>
      <w:r w:rsidR="000B58F4" w:rsidRPr="0013481E">
        <w:rPr>
          <w:rFonts w:eastAsia="仿宋_GB2312"/>
          <w:sz w:val="32"/>
          <w:szCs w:val="32"/>
        </w:rPr>
        <w:t>铜</w:t>
      </w:r>
      <w:r w:rsidR="000F6DD1" w:rsidRPr="0013481E">
        <w:rPr>
          <w:rFonts w:eastAsia="仿宋_GB2312"/>
          <w:sz w:val="32"/>
          <w:szCs w:val="32"/>
        </w:rPr>
        <w:t>牌</w:t>
      </w:r>
      <w:r w:rsidR="006F495C" w:rsidRPr="0013481E">
        <w:rPr>
          <w:rFonts w:eastAsia="仿宋_GB2312"/>
          <w:sz w:val="32"/>
          <w:szCs w:val="32"/>
        </w:rPr>
        <w:t>9</w:t>
      </w:r>
      <w:r w:rsidR="000F6DD1" w:rsidRPr="0013481E">
        <w:rPr>
          <w:rFonts w:eastAsia="仿宋_GB2312"/>
          <w:sz w:val="32"/>
          <w:szCs w:val="32"/>
        </w:rPr>
        <w:t>块。</w:t>
      </w:r>
    </w:p>
    <w:p w:rsidR="00FA3E3F" w:rsidRPr="0013481E" w:rsidRDefault="00357C61" w:rsidP="00554432">
      <w:pPr>
        <w:spacing w:afterLines="50" w:line="540" w:lineRule="exact"/>
        <w:ind w:left="0" w:firstLineChars="200" w:firstLine="640"/>
        <w:rPr>
          <w:rFonts w:eastAsia="黑体"/>
          <w:sz w:val="32"/>
          <w:szCs w:val="32"/>
        </w:rPr>
      </w:pPr>
      <w:r w:rsidRPr="0013481E">
        <w:rPr>
          <w:rFonts w:eastAsia="黑体" w:hAnsi="黑体"/>
          <w:sz w:val="32"/>
          <w:szCs w:val="32"/>
        </w:rPr>
        <w:t>十、</w:t>
      </w:r>
      <w:r w:rsidR="00FA3E3F" w:rsidRPr="0013481E">
        <w:rPr>
          <w:rFonts w:eastAsia="黑体" w:hAnsi="黑体"/>
          <w:sz w:val="32"/>
          <w:szCs w:val="32"/>
        </w:rPr>
        <w:t>环境与人民生活</w:t>
      </w:r>
    </w:p>
    <w:p w:rsidR="00DA5873" w:rsidRPr="0013481E" w:rsidRDefault="00A16D22" w:rsidP="00554432">
      <w:pPr>
        <w:spacing w:afterLines="50" w:line="540" w:lineRule="exact"/>
        <w:ind w:left="0" w:firstLineChars="200" w:firstLine="640"/>
        <w:rPr>
          <w:rFonts w:eastAsia="仿宋_GB2312"/>
          <w:sz w:val="32"/>
          <w:szCs w:val="32"/>
        </w:rPr>
      </w:pPr>
      <w:r w:rsidRPr="0013481E">
        <w:rPr>
          <w:rFonts w:eastAsia="仿宋_GB2312"/>
          <w:sz w:val="32"/>
          <w:szCs w:val="32"/>
        </w:rPr>
        <w:t>全</w:t>
      </w:r>
      <w:r w:rsidR="00DA5873" w:rsidRPr="0013481E">
        <w:rPr>
          <w:rFonts w:eastAsia="仿宋_GB2312"/>
          <w:sz w:val="32"/>
          <w:szCs w:val="32"/>
        </w:rPr>
        <w:t>年平均降水量</w:t>
      </w:r>
      <w:r w:rsidR="004A2454" w:rsidRPr="0013481E">
        <w:rPr>
          <w:rFonts w:eastAsia="仿宋_GB2312"/>
          <w:sz w:val="32"/>
          <w:szCs w:val="32"/>
        </w:rPr>
        <w:t>1722.1</w:t>
      </w:r>
      <w:r w:rsidR="00DA5873" w:rsidRPr="0013481E">
        <w:rPr>
          <w:rFonts w:eastAsia="仿宋_GB2312"/>
          <w:sz w:val="32"/>
          <w:szCs w:val="32"/>
        </w:rPr>
        <w:t>毫米，比上年减少</w:t>
      </w:r>
      <w:r w:rsidR="004A2454" w:rsidRPr="0013481E">
        <w:rPr>
          <w:rFonts w:eastAsia="仿宋_GB2312"/>
          <w:sz w:val="32"/>
          <w:szCs w:val="32"/>
        </w:rPr>
        <w:t>38.3</w:t>
      </w:r>
      <w:r w:rsidR="00DA5873" w:rsidRPr="0013481E">
        <w:rPr>
          <w:rFonts w:eastAsia="仿宋_GB2312"/>
          <w:sz w:val="32"/>
          <w:szCs w:val="32"/>
        </w:rPr>
        <w:t>%</w:t>
      </w:r>
      <w:r w:rsidR="00DA5873" w:rsidRPr="0013481E">
        <w:rPr>
          <w:rFonts w:eastAsia="仿宋_GB2312"/>
          <w:sz w:val="32"/>
          <w:szCs w:val="32"/>
        </w:rPr>
        <w:t>。年末全</w:t>
      </w:r>
      <w:r w:rsidR="004A2454" w:rsidRPr="0013481E">
        <w:rPr>
          <w:rFonts w:eastAsia="仿宋_GB2312"/>
          <w:sz w:val="32"/>
          <w:szCs w:val="32"/>
        </w:rPr>
        <w:t>县</w:t>
      </w:r>
      <w:r w:rsidR="00DA5873" w:rsidRPr="0013481E">
        <w:rPr>
          <w:rFonts w:eastAsia="仿宋_GB2312"/>
          <w:sz w:val="32"/>
          <w:szCs w:val="32"/>
        </w:rPr>
        <w:t>大</w:t>
      </w:r>
      <w:r w:rsidRPr="0013481E">
        <w:rPr>
          <w:rFonts w:eastAsia="仿宋_GB2312"/>
          <w:sz w:val="32"/>
          <w:szCs w:val="32"/>
        </w:rPr>
        <w:t>中</w:t>
      </w:r>
      <w:r w:rsidR="00DA5873" w:rsidRPr="0013481E">
        <w:rPr>
          <w:rFonts w:eastAsia="仿宋_GB2312"/>
          <w:sz w:val="32"/>
          <w:szCs w:val="32"/>
        </w:rPr>
        <w:t>型水库蓄水总量</w:t>
      </w:r>
      <w:r w:rsidRPr="0013481E">
        <w:rPr>
          <w:rFonts w:eastAsia="仿宋_GB2312"/>
          <w:sz w:val="32"/>
          <w:szCs w:val="32"/>
        </w:rPr>
        <w:t>11983.33</w:t>
      </w:r>
      <w:r w:rsidRPr="0013481E">
        <w:rPr>
          <w:rFonts w:eastAsia="仿宋_GB2312"/>
          <w:sz w:val="32"/>
          <w:szCs w:val="32"/>
        </w:rPr>
        <w:t>万</w:t>
      </w:r>
      <w:r w:rsidR="00DA5873" w:rsidRPr="0013481E">
        <w:rPr>
          <w:rFonts w:eastAsia="仿宋_GB2312"/>
          <w:sz w:val="32"/>
          <w:szCs w:val="32"/>
        </w:rPr>
        <w:t>立方米，比上年减少</w:t>
      </w:r>
      <w:r w:rsidRPr="0013481E">
        <w:rPr>
          <w:rFonts w:eastAsia="仿宋_GB2312"/>
          <w:sz w:val="32"/>
          <w:szCs w:val="32"/>
        </w:rPr>
        <w:t>4.12</w:t>
      </w:r>
      <w:r w:rsidR="00DA5873" w:rsidRPr="0013481E">
        <w:rPr>
          <w:rFonts w:eastAsia="仿宋_GB2312"/>
          <w:sz w:val="32"/>
          <w:szCs w:val="32"/>
        </w:rPr>
        <w:t>%</w:t>
      </w:r>
      <w:r w:rsidR="00DA5873" w:rsidRPr="0013481E">
        <w:rPr>
          <w:rFonts w:eastAsia="仿宋_GB2312"/>
          <w:sz w:val="32"/>
          <w:szCs w:val="32"/>
        </w:rPr>
        <w:t>。</w:t>
      </w:r>
    </w:p>
    <w:p w:rsidR="00BA4A4A" w:rsidRPr="0013481E" w:rsidRDefault="00BA4A4A" w:rsidP="00554432">
      <w:pPr>
        <w:spacing w:afterLines="50" w:line="540" w:lineRule="exact"/>
        <w:ind w:left="0" w:firstLineChars="200" w:firstLine="640"/>
        <w:rPr>
          <w:rFonts w:eastAsia="仿宋_GB2312"/>
          <w:color w:val="FF0000"/>
          <w:sz w:val="32"/>
          <w:szCs w:val="32"/>
          <w:highlight w:val="yellow"/>
        </w:rPr>
      </w:pPr>
      <w:r w:rsidRPr="0013481E">
        <w:rPr>
          <w:rFonts w:eastAsia="仿宋_GB2312"/>
          <w:sz w:val="32"/>
          <w:szCs w:val="32"/>
        </w:rPr>
        <w:t>年末全</w:t>
      </w:r>
      <w:r w:rsidR="004A2454" w:rsidRPr="0013481E">
        <w:rPr>
          <w:rFonts w:eastAsia="仿宋_GB2312"/>
          <w:sz w:val="32"/>
          <w:szCs w:val="32"/>
        </w:rPr>
        <w:t>县</w:t>
      </w:r>
      <w:r w:rsidRPr="0013481E">
        <w:rPr>
          <w:rFonts w:eastAsia="仿宋_GB2312"/>
          <w:sz w:val="32"/>
          <w:szCs w:val="32"/>
        </w:rPr>
        <w:t>共有环境监测站</w:t>
      </w:r>
      <w:r w:rsidR="004A2454" w:rsidRPr="0013481E">
        <w:rPr>
          <w:rFonts w:eastAsia="仿宋_GB2312"/>
          <w:sz w:val="32"/>
          <w:szCs w:val="32"/>
        </w:rPr>
        <w:t>1</w:t>
      </w:r>
      <w:r w:rsidRPr="0013481E">
        <w:rPr>
          <w:rFonts w:eastAsia="仿宋_GB2312"/>
          <w:sz w:val="32"/>
          <w:szCs w:val="32"/>
        </w:rPr>
        <w:t>个。共有生活污水处理厂</w:t>
      </w:r>
      <w:r w:rsidR="00A16D22" w:rsidRPr="0013481E">
        <w:rPr>
          <w:rFonts w:eastAsia="仿宋_GB2312"/>
          <w:sz w:val="32"/>
          <w:szCs w:val="32"/>
        </w:rPr>
        <w:t>26</w:t>
      </w:r>
      <w:r w:rsidRPr="0013481E">
        <w:rPr>
          <w:rFonts w:eastAsia="仿宋_GB2312"/>
          <w:sz w:val="32"/>
          <w:szCs w:val="32"/>
        </w:rPr>
        <w:t>座，城市污水处理能力达到</w:t>
      </w:r>
      <w:r w:rsidR="00A16D22" w:rsidRPr="0013481E">
        <w:rPr>
          <w:rFonts w:eastAsia="仿宋_GB2312"/>
          <w:sz w:val="32"/>
          <w:szCs w:val="32"/>
        </w:rPr>
        <w:t>2</w:t>
      </w:r>
      <w:r w:rsidRPr="0013481E">
        <w:rPr>
          <w:rFonts w:eastAsia="仿宋_GB2312"/>
          <w:sz w:val="32"/>
          <w:szCs w:val="32"/>
        </w:rPr>
        <w:t>万吨</w:t>
      </w:r>
      <w:r w:rsidRPr="0013481E">
        <w:rPr>
          <w:rFonts w:eastAsia="仿宋_GB2312"/>
          <w:sz w:val="32"/>
          <w:szCs w:val="32"/>
        </w:rPr>
        <w:t>/</w:t>
      </w:r>
      <w:r w:rsidRPr="0013481E">
        <w:rPr>
          <w:rFonts w:eastAsia="仿宋_GB2312"/>
          <w:sz w:val="32"/>
          <w:szCs w:val="32"/>
        </w:rPr>
        <w:t>日，城市生活污水集中处理率达到</w:t>
      </w:r>
      <w:r w:rsidRPr="0013481E">
        <w:rPr>
          <w:rFonts w:eastAsia="仿宋_GB2312"/>
          <w:sz w:val="32"/>
          <w:szCs w:val="32"/>
        </w:rPr>
        <w:t>9</w:t>
      </w:r>
      <w:r w:rsidR="00A16D22" w:rsidRPr="0013481E">
        <w:rPr>
          <w:rFonts w:eastAsia="仿宋_GB2312"/>
          <w:sz w:val="32"/>
          <w:szCs w:val="32"/>
        </w:rPr>
        <w:t>8.6</w:t>
      </w:r>
      <w:r w:rsidRPr="0013481E">
        <w:rPr>
          <w:rFonts w:eastAsia="仿宋_GB2312"/>
          <w:sz w:val="32"/>
          <w:szCs w:val="32"/>
        </w:rPr>
        <w:t>%</w:t>
      </w:r>
      <w:r w:rsidRPr="0013481E">
        <w:rPr>
          <w:rFonts w:eastAsia="仿宋_GB2312"/>
          <w:sz w:val="32"/>
          <w:szCs w:val="32"/>
        </w:rPr>
        <w:t>，城市生活垃圾无害化处理率达到</w:t>
      </w:r>
      <w:r w:rsidRPr="0013481E">
        <w:rPr>
          <w:rFonts w:eastAsia="仿宋_GB2312"/>
          <w:sz w:val="32"/>
          <w:szCs w:val="32"/>
        </w:rPr>
        <w:t>100%</w:t>
      </w:r>
      <w:r w:rsidRPr="0013481E">
        <w:rPr>
          <w:rFonts w:eastAsia="仿宋_GB2312"/>
          <w:sz w:val="32"/>
          <w:szCs w:val="32"/>
        </w:rPr>
        <w:t>。</w:t>
      </w:r>
      <w:r w:rsidR="009E72B8" w:rsidRPr="0013481E">
        <w:rPr>
          <w:rFonts w:eastAsia="仿宋_GB2312"/>
          <w:sz w:val="32"/>
          <w:szCs w:val="32"/>
        </w:rPr>
        <w:t>全县</w:t>
      </w:r>
      <w:r w:rsidRPr="0013481E">
        <w:rPr>
          <w:rFonts w:eastAsia="仿宋_GB2312"/>
          <w:sz w:val="32"/>
          <w:szCs w:val="32"/>
        </w:rPr>
        <w:t>环境质量保持稳定良好，</w:t>
      </w:r>
      <w:r w:rsidR="009E72B8" w:rsidRPr="0013481E">
        <w:rPr>
          <w:rFonts w:eastAsia="仿宋_GB2312"/>
          <w:sz w:val="32"/>
          <w:szCs w:val="32"/>
        </w:rPr>
        <w:t>蕉岭</w:t>
      </w:r>
      <w:r w:rsidRPr="0013481E">
        <w:rPr>
          <w:rFonts w:eastAsia="仿宋_GB2312"/>
          <w:sz w:val="32"/>
          <w:szCs w:val="32"/>
        </w:rPr>
        <w:t>城区空气质量</w:t>
      </w:r>
      <w:r w:rsidRPr="0013481E">
        <w:rPr>
          <w:rFonts w:eastAsia="仿宋_GB2312"/>
          <w:sz w:val="32"/>
          <w:szCs w:val="32"/>
        </w:rPr>
        <w:t>AQI</w:t>
      </w:r>
      <w:r w:rsidRPr="0013481E">
        <w:rPr>
          <w:rFonts w:eastAsia="仿宋_GB2312"/>
          <w:sz w:val="32"/>
          <w:szCs w:val="32"/>
        </w:rPr>
        <w:t>指数</w:t>
      </w:r>
      <w:r w:rsidR="009E72B8" w:rsidRPr="0013481E">
        <w:rPr>
          <w:rFonts w:eastAsia="仿宋_GB2312"/>
          <w:sz w:val="32"/>
          <w:szCs w:val="32"/>
        </w:rPr>
        <w:t>为</w:t>
      </w:r>
      <w:r w:rsidR="009E72B8" w:rsidRPr="0013481E">
        <w:rPr>
          <w:rFonts w:eastAsia="仿宋_GB2312"/>
          <w:sz w:val="32"/>
          <w:szCs w:val="32"/>
        </w:rPr>
        <w:t>3.41</w:t>
      </w:r>
      <w:r w:rsidR="009E72B8" w:rsidRPr="0013481E">
        <w:rPr>
          <w:rFonts w:eastAsia="仿宋_GB2312"/>
          <w:sz w:val="32"/>
          <w:szCs w:val="32"/>
        </w:rPr>
        <w:t>，</w:t>
      </w:r>
      <w:r w:rsidRPr="0013481E">
        <w:rPr>
          <w:rFonts w:eastAsia="仿宋_GB2312"/>
          <w:sz w:val="32"/>
          <w:szCs w:val="32"/>
        </w:rPr>
        <w:t>优良率</w:t>
      </w:r>
      <w:r w:rsidRPr="0013481E">
        <w:rPr>
          <w:rFonts w:eastAsia="仿宋_GB2312"/>
          <w:sz w:val="32"/>
          <w:szCs w:val="32"/>
        </w:rPr>
        <w:t>9</w:t>
      </w:r>
      <w:r w:rsidR="009E72B8" w:rsidRPr="0013481E">
        <w:rPr>
          <w:rFonts w:eastAsia="仿宋_GB2312"/>
          <w:sz w:val="32"/>
          <w:szCs w:val="32"/>
        </w:rPr>
        <w:t>9.4</w:t>
      </w:r>
      <w:r w:rsidRPr="0013481E">
        <w:rPr>
          <w:rFonts w:eastAsia="仿宋_GB2312"/>
          <w:sz w:val="32"/>
          <w:szCs w:val="32"/>
        </w:rPr>
        <w:t>%</w:t>
      </w:r>
      <w:r w:rsidRPr="0013481E">
        <w:rPr>
          <w:rFonts w:eastAsia="仿宋_GB2312"/>
          <w:sz w:val="32"/>
          <w:szCs w:val="32"/>
        </w:rPr>
        <w:t>；主要江河水质达到功能区水质要求</w:t>
      </w:r>
      <w:r w:rsidR="009E72B8" w:rsidRPr="0013481E">
        <w:rPr>
          <w:rFonts w:eastAsia="仿宋_GB2312"/>
          <w:sz w:val="32"/>
          <w:szCs w:val="32"/>
        </w:rPr>
        <w:t>年均值</w:t>
      </w:r>
      <w:r w:rsidR="009E72B8" w:rsidRPr="0013481E">
        <w:rPr>
          <w:rFonts w:eastAsia="仿宋_GB2312"/>
          <w:sz w:val="32"/>
          <w:szCs w:val="32"/>
        </w:rPr>
        <w:t>Ⅱ</w:t>
      </w:r>
      <w:r w:rsidR="009E72B8" w:rsidRPr="0013481E">
        <w:rPr>
          <w:rFonts w:eastAsia="仿宋_GB2312"/>
          <w:sz w:val="32"/>
          <w:szCs w:val="32"/>
        </w:rPr>
        <w:t>类</w:t>
      </w:r>
      <w:r w:rsidRPr="0013481E">
        <w:rPr>
          <w:rFonts w:eastAsia="仿宋_GB2312"/>
          <w:sz w:val="32"/>
          <w:szCs w:val="32"/>
        </w:rPr>
        <w:t>，水质达标率为</w:t>
      </w:r>
      <w:r w:rsidRPr="0013481E">
        <w:rPr>
          <w:rFonts w:eastAsia="仿宋_GB2312"/>
          <w:sz w:val="32"/>
          <w:szCs w:val="32"/>
        </w:rPr>
        <w:t>100%</w:t>
      </w:r>
      <w:r w:rsidRPr="0013481E">
        <w:rPr>
          <w:rFonts w:eastAsia="仿宋_GB2312"/>
          <w:sz w:val="32"/>
          <w:szCs w:val="32"/>
        </w:rPr>
        <w:t>；区域噪声、道路交通噪声保持稳定，城市声环境质量较好，各功能区噪声达标率为</w:t>
      </w:r>
      <w:r w:rsidR="009E72B8" w:rsidRPr="0013481E">
        <w:rPr>
          <w:rFonts w:eastAsia="仿宋_GB2312"/>
          <w:sz w:val="32"/>
          <w:szCs w:val="32"/>
        </w:rPr>
        <w:t>100</w:t>
      </w:r>
      <w:r w:rsidRPr="0013481E">
        <w:rPr>
          <w:rFonts w:eastAsia="仿宋_GB2312"/>
          <w:sz w:val="32"/>
          <w:szCs w:val="32"/>
        </w:rPr>
        <w:t>%</w:t>
      </w:r>
      <w:r w:rsidRPr="0013481E">
        <w:rPr>
          <w:rFonts w:eastAsia="仿宋_GB2312"/>
          <w:sz w:val="32"/>
          <w:szCs w:val="32"/>
        </w:rPr>
        <w:t>。</w:t>
      </w:r>
    </w:p>
    <w:p w:rsidR="007D4F2D"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设立县级以上自然保护区</w:t>
      </w:r>
      <w:r w:rsidR="00FD46DF" w:rsidRPr="0013481E">
        <w:rPr>
          <w:rFonts w:eastAsia="仿宋_GB2312"/>
          <w:sz w:val="32"/>
          <w:szCs w:val="32"/>
        </w:rPr>
        <w:t>2</w:t>
      </w:r>
      <w:r w:rsidRPr="0013481E">
        <w:rPr>
          <w:rFonts w:eastAsia="仿宋_GB2312"/>
          <w:sz w:val="32"/>
          <w:szCs w:val="32"/>
        </w:rPr>
        <w:t>个</w:t>
      </w:r>
      <w:r w:rsidRPr="0013481E">
        <w:rPr>
          <w:rFonts w:eastAsia="仿宋_GB2312"/>
          <w:sz w:val="32"/>
          <w:szCs w:val="32"/>
        </w:rPr>
        <w:t>,</w:t>
      </w:r>
      <w:r w:rsidRPr="0013481E">
        <w:rPr>
          <w:rFonts w:eastAsia="仿宋_GB2312"/>
          <w:sz w:val="32"/>
          <w:szCs w:val="32"/>
        </w:rPr>
        <w:t>面积</w:t>
      </w:r>
      <w:r w:rsidR="00FD46DF" w:rsidRPr="0013481E">
        <w:rPr>
          <w:rFonts w:eastAsia="仿宋_GB2312"/>
          <w:sz w:val="32"/>
          <w:szCs w:val="32"/>
        </w:rPr>
        <w:t>12990</w:t>
      </w:r>
      <w:r w:rsidRPr="0013481E">
        <w:rPr>
          <w:rFonts w:eastAsia="仿宋_GB2312"/>
          <w:sz w:val="32"/>
          <w:szCs w:val="32"/>
        </w:rPr>
        <w:t>公顷</w:t>
      </w:r>
      <w:r w:rsidR="00E11655" w:rsidRPr="0013481E">
        <w:rPr>
          <w:rFonts w:eastAsia="仿宋_GB2312"/>
          <w:sz w:val="32"/>
          <w:szCs w:val="32"/>
        </w:rPr>
        <w:t>。全县森林面积</w:t>
      </w:r>
      <w:r w:rsidR="00E11655" w:rsidRPr="0013481E">
        <w:rPr>
          <w:rFonts w:eastAsia="仿宋_GB2312"/>
          <w:sz w:val="32"/>
          <w:szCs w:val="32"/>
        </w:rPr>
        <w:t>75668.2</w:t>
      </w:r>
      <w:r w:rsidR="00E11655" w:rsidRPr="0013481E">
        <w:rPr>
          <w:rFonts w:eastAsia="仿宋_GB2312"/>
          <w:sz w:val="32"/>
          <w:szCs w:val="32"/>
        </w:rPr>
        <w:t>公顷，</w:t>
      </w:r>
      <w:r w:rsidR="00F0056F" w:rsidRPr="0013481E">
        <w:rPr>
          <w:rFonts w:eastAsia="仿宋_GB2312"/>
          <w:sz w:val="32"/>
          <w:szCs w:val="32"/>
        </w:rPr>
        <w:t>全县当年</w:t>
      </w:r>
      <w:r w:rsidR="00CA6195" w:rsidRPr="0013481E">
        <w:rPr>
          <w:rFonts w:eastAsia="仿宋_GB2312"/>
          <w:sz w:val="32"/>
          <w:szCs w:val="32"/>
        </w:rPr>
        <w:t>碳汇林改造</w:t>
      </w:r>
      <w:r w:rsidR="00F0056F" w:rsidRPr="0013481E">
        <w:rPr>
          <w:rFonts w:eastAsia="仿宋_GB2312"/>
          <w:sz w:val="32"/>
          <w:szCs w:val="32"/>
        </w:rPr>
        <w:t>面积</w:t>
      </w:r>
      <w:r w:rsidR="00BA4A4A" w:rsidRPr="0013481E">
        <w:rPr>
          <w:rFonts w:eastAsia="仿宋_GB2312"/>
          <w:sz w:val="32"/>
          <w:szCs w:val="32"/>
        </w:rPr>
        <w:t>768</w:t>
      </w:r>
      <w:r w:rsidR="00F0056F" w:rsidRPr="0013481E">
        <w:rPr>
          <w:rFonts w:eastAsia="仿宋_GB2312"/>
          <w:sz w:val="32"/>
          <w:szCs w:val="32"/>
        </w:rPr>
        <w:t>公顷，年末已建成生态公益林</w:t>
      </w:r>
      <w:r w:rsidR="00CA6195" w:rsidRPr="0013481E">
        <w:rPr>
          <w:rFonts w:eastAsia="仿宋_GB2312"/>
          <w:sz w:val="32"/>
          <w:szCs w:val="32"/>
        </w:rPr>
        <w:t>3.67</w:t>
      </w:r>
      <w:r w:rsidR="00F0056F" w:rsidRPr="0013481E">
        <w:rPr>
          <w:rFonts w:eastAsia="仿宋_GB2312"/>
          <w:sz w:val="32"/>
          <w:szCs w:val="32"/>
        </w:rPr>
        <w:t>万公顷。</w:t>
      </w:r>
    </w:p>
    <w:p w:rsidR="007D4F2D" w:rsidRPr="0013481E" w:rsidRDefault="00106FDF" w:rsidP="00554432">
      <w:pPr>
        <w:spacing w:afterLines="50" w:line="540" w:lineRule="exact"/>
        <w:ind w:left="0" w:firstLineChars="200" w:firstLine="640"/>
        <w:rPr>
          <w:rFonts w:eastAsia="仿宋_GB2312"/>
          <w:sz w:val="32"/>
          <w:szCs w:val="32"/>
        </w:rPr>
      </w:pPr>
      <w:r w:rsidRPr="0013481E">
        <w:rPr>
          <w:rFonts w:eastAsia="仿宋_GB2312"/>
          <w:sz w:val="32"/>
          <w:szCs w:val="32"/>
        </w:rPr>
        <w:t>初步核算，全年</w:t>
      </w:r>
      <w:r w:rsidR="000A2BBB" w:rsidRPr="0013481E">
        <w:rPr>
          <w:rFonts w:eastAsia="仿宋_GB2312"/>
          <w:sz w:val="32"/>
          <w:szCs w:val="32"/>
        </w:rPr>
        <w:t>全社会</w:t>
      </w:r>
      <w:r w:rsidRPr="0013481E">
        <w:rPr>
          <w:rFonts w:eastAsia="仿宋_GB2312"/>
          <w:sz w:val="32"/>
          <w:szCs w:val="32"/>
        </w:rPr>
        <w:t>能源消费总量</w:t>
      </w:r>
      <w:r w:rsidR="00AF7223" w:rsidRPr="0013481E">
        <w:rPr>
          <w:rFonts w:eastAsia="仿宋_GB2312"/>
          <w:sz w:val="32"/>
          <w:szCs w:val="32"/>
        </w:rPr>
        <w:t>17</w:t>
      </w:r>
      <w:r w:rsidR="000A2BBB" w:rsidRPr="0013481E">
        <w:rPr>
          <w:rFonts w:eastAsia="仿宋_GB2312"/>
          <w:sz w:val="32"/>
          <w:szCs w:val="32"/>
        </w:rPr>
        <w:t>5.71</w:t>
      </w:r>
      <w:r w:rsidR="00E67CA9" w:rsidRPr="0013481E">
        <w:rPr>
          <w:rFonts w:eastAsia="仿宋_GB2312"/>
          <w:sz w:val="32"/>
          <w:szCs w:val="32"/>
        </w:rPr>
        <w:t>万</w:t>
      </w:r>
      <w:r w:rsidRPr="0013481E">
        <w:rPr>
          <w:rFonts w:eastAsia="仿宋_GB2312"/>
          <w:sz w:val="32"/>
          <w:szCs w:val="32"/>
        </w:rPr>
        <w:t>吨标准煤，比上年</w:t>
      </w:r>
      <w:r w:rsidR="000A2BBB" w:rsidRPr="0013481E">
        <w:rPr>
          <w:rFonts w:eastAsia="仿宋_GB2312"/>
          <w:sz w:val="32"/>
          <w:szCs w:val="32"/>
        </w:rPr>
        <w:t>下降</w:t>
      </w:r>
      <w:r w:rsidR="000A2BBB" w:rsidRPr="0013481E">
        <w:rPr>
          <w:rFonts w:eastAsia="仿宋_GB2312"/>
          <w:sz w:val="32"/>
          <w:szCs w:val="32"/>
        </w:rPr>
        <w:t>0.91</w:t>
      </w:r>
      <w:r w:rsidRPr="0013481E">
        <w:rPr>
          <w:rFonts w:eastAsia="仿宋_GB2312"/>
          <w:sz w:val="32"/>
          <w:szCs w:val="32"/>
        </w:rPr>
        <w:t>%</w:t>
      </w:r>
      <w:r w:rsidR="007D4F2D" w:rsidRPr="0013481E">
        <w:rPr>
          <w:rFonts w:eastAsia="仿宋_GB2312"/>
          <w:sz w:val="32"/>
          <w:szCs w:val="32"/>
        </w:rPr>
        <w:t>。</w:t>
      </w:r>
      <w:r w:rsidRPr="0013481E">
        <w:rPr>
          <w:rFonts w:eastAsia="仿宋_GB2312"/>
          <w:sz w:val="32"/>
          <w:szCs w:val="32"/>
        </w:rPr>
        <w:t>万元</w:t>
      </w:r>
      <w:r w:rsidR="00E67CA9" w:rsidRPr="0013481E">
        <w:rPr>
          <w:rFonts w:eastAsia="仿宋_GB2312"/>
          <w:sz w:val="32"/>
          <w:szCs w:val="32"/>
        </w:rPr>
        <w:t>GDP</w:t>
      </w:r>
      <w:r w:rsidRPr="0013481E">
        <w:rPr>
          <w:rFonts w:eastAsia="仿宋_GB2312"/>
          <w:sz w:val="32"/>
          <w:szCs w:val="32"/>
        </w:rPr>
        <w:t>能耗下降</w:t>
      </w:r>
      <w:r w:rsidR="000A2BBB" w:rsidRPr="0013481E">
        <w:rPr>
          <w:rFonts w:eastAsia="仿宋_GB2312"/>
          <w:sz w:val="32"/>
          <w:szCs w:val="32"/>
        </w:rPr>
        <w:t>7.8</w:t>
      </w:r>
      <w:r w:rsidRPr="0013481E">
        <w:rPr>
          <w:rFonts w:eastAsia="仿宋_GB2312"/>
          <w:sz w:val="32"/>
          <w:szCs w:val="32"/>
        </w:rPr>
        <w:t>%</w:t>
      </w:r>
      <w:r w:rsidR="007D4F2D" w:rsidRPr="0013481E">
        <w:rPr>
          <w:rFonts w:eastAsia="仿宋_GB2312"/>
          <w:sz w:val="32"/>
          <w:szCs w:val="32"/>
        </w:rPr>
        <w:t>。</w:t>
      </w:r>
      <w:r w:rsidR="00E67CA9" w:rsidRPr="0013481E">
        <w:rPr>
          <w:rFonts w:eastAsia="仿宋_GB2312"/>
          <w:sz w:val="32"/>
          <w:szCs w:val="32"/>
        </w:rPr>
        <w:t>单位工业增加值能耗</w:t>
      </w:r>
      <w:r w:rsidR="000A2BBB" w:rsidRPr="0013481E">
        <w:rPr>
          <w:rFonts w:eastAsia="仿宋_GB2312"/>
          <w:sz w:val="32"/>
          <w:szCs w:val="32"/>
        </w:rPr>
        <w:lastRenderedPageBreak/>
        <w:t>下降</w:t>
      </w:r>
      <w:r w:rsidR="000A2BBB" w:rsidRPr="0013481E">
        <w:rPr>
          <w:rFonts w:eastAsia="仿宋_GB2312"/>
          <w:sz w:val="32"/>
          <w:szCs w:val="32"/>
        </w:rPr>
        <w:t>9.27</w:t>
      </w:r>
      <w:r w:rsidR="00E67CA9" w:rsidRPr="0013481E">
        <w:rPr>
          <w:rFonts w:eastAsia="仿宋_GB2312"/>
          <w:sz w:val="32"/>
          <w:szCs w:val="32"/>
        </w:rPr>
        <w:t>%</w:t>
      </w:r>
      <w:r w:rsidR="007D4F2D" w:rsidRPr="0013481E">
        <w:rPr>
          <w:rFonts w:eastAsia="仿宋_GB2312"/>
          <w:sz w:val="32"/>
          <w:szCs w:val="32"/>
        </w:rPr>
        <w:t>。全社会用电量</w:t>
      </w:r>
      <w:r w:rsidR="000A2BBB" w:rsidRPr="0013481E">
        <w:rPr>
          <w:rFonts w:eastAsia="仿宋_GB2312"/>
          <w:sz w:val="32"/>
          <w:szCs w:val="32"/>
        </w:rPr>
        <w:t>108969.68</w:t>
      </w:r>
      <w:r w:rsidR="007D4F2D" w:rsidRPr="0013481E">
        <w:rPr>
          <w:rFonts w:eastAsia="仿宋_GB2312"/>
          <w:sz w:val="32"/>
          <w:szCs w:val="32"/>
        </w:rPr>
        <w:t>万千瓦时，增长</w:t>
      </w:r>
      <w:r w:rsidR="000A2BBB" w:rsidRPr="0013481E">
        <w:rPr>
          <w:rFonts w:eastAsia="仿宋_GB2312"/>
          <w:sz w:val="32"/>
          <w:szCs w:val="32"/>
        </w:rPr>
        <w:t>9.26</w:t>
      </w:r>
      <w:r w:rsidR="007D4F2D" w:rsidRPr="0013481E">
        <w:rPr>
          <w:rFonts w:eastAsia="仿宋_GB2312"/>
          <w:sz w:val="32"/>
          <w:szCs w:val="32"/>
        </w:rPr>
        <w:t>%</w:t>
      </w:r>
      <w:r w:rsidR="007D4F2D" w:rsidRPr="0013481E">
        <w:rPr>
          <w:rFonts w:eastAsia="仿宋_GB2312"/>
          <w:sz w:val="32"/>
          <w:szCs w:val="32"/>
        </w:rPr>
        <w:t>，其中</w:t>
      </w:r>
      <w:r w:rsidR="0001096D" w:rsidRPr="0013481E">
        <w:rPr>
          <w:rFonts w:eastAsia="仿宋_GB2312"/>
          <w:sz w:val="32"/>
          <w:szCs w:val="32"/>
        </w:rPr>
        <w:t>，</w:t>
      </w:r>
      <w:r w:rsidR="007D4F2D" w:rsidRPr="0013481E">
        <w:rPr>
          <w:rFonts w:eastAsia="仿宋_GB2312"/>
          <w:sz w:val="32"/>
          <w:szCs w:val="32"/>
        </w:rPr>
        <w:t>工业用电量</w:t>
      </w:r>
      <w:r w:rsidR="000A2BBB" w:rsidRPr="0013481E">
        <w:rPr>
          <w:rFonts w:eastAsia="仿宋_GB2312"/>
          <w:sz w:val="32"/>
          <w:szCs w:val="32"/>
        </w:rPr>
        <w:t>89204.55</w:t>
      </w:r>
      <w:r w:rsidR="007D4F2D" w:rsidRPr="0013481E">
        <w:rPr>
          <w:rFonts w:eastAsia="仿宋_GB2312"/>
          <w:sz w:val="32"/>
          <w:szCs w:val="32"/>
        </w:rPr>
        <w:t>万千瓦时，增长</w:t>
      </w:r>
      <w:r w:rsidR="000A2BBB" w:rsidRPr="0013481E">
        <w:rPr>
          <w:rFonts w:eastAsia="仿宋_GB2312"/>
          <w:sz w:val="32"/>
          <w:szCs w:val="32"/>
        </w:rPr>
        <w:t>9.4</w:t>
      </w:r>
      <w:r w:rsidR="007D4F2D" w:rsidRPr="0013481E">
        <w:rPr>
          <w:rFonts w:eastAsia="仿宋_GB2312"/>
          <w:sz w:val="32"/>
          <w:szCs w:val="32"/>
        </w:rPr>
        <w:t>%</w:t>
      </w:r>
      <w:r w:rsidR="007D4F2D" w:rsidRPr="0013481E">
        <w:rPr>
          <w:rFonts w:eastAsia="仿宋_GB2312"/>
          <w:sz w:val="32"/>
          <w:szCs w:val="32"/>
        </w:rPr>
        <w:t>。</w:t>
      </w:r>
    </w:p>
    <w:p w:rsidR="00CD4B86" w:rsidRPr="0013481E" w:rsidRDefault="00690875" w:rsidP="00554432">
      <w:pPr>
        <w:spacing w:afterLines="50" w:line="540" w:lineRule="exact"/>
        <w:ind w:left="0" w:firstLineChars="200" w:firstLine="640"/>
        <w:rPr>
          <w:rFonts w:eastAsia="仿宋_GB2312"/>
          <w:sz w:val="32"/>
          <w:szCs w:val="32"/>
        </w:rPr>
      </w:pPr>
      <w:r w:rsidRPr="0013481E">
        <w:rPr>
          <w:rFonts w:eastAsia="仿宋_GB2312"/>
          <w:noProof/>
          <w:sz w:val="32"/>
          <w:szCs w:val="32"/>
        </w:rPr>
        <w:drawing>
          <wp:anchor distT="0" distB="0" distL="114300" distR="114300" simplePos="0" relativeHeight="251686912" behindDoc="0" locked="0" layoutInCell="1" allowOverlap="1">
            <wp:simplePos x="0" y="0"/>
            <wp:positionH relativeFrom="margin">
              <wp:posOffset>-213995</wp:posOffset>
            </wp:positionH>
            <wp:positionV relativeFrom="paragraph">
              <wp:posOffset>3695700</wp:posOffset>
            </wp:positionV>
            <wp:extent cx="5886450" cy="3971925"/>
            <wp:effectExtent l="0" t="0" r="0" b="0"/>
            <wp:wrapTopAndBottom/>
            <wp:docPr id="14"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7353C9" w:rsidRPr="0013481E">
        <w:rPr>
          <w:rFonts w:eastAsia="仿宋_GB2312"/>
          <w:noProof/>
          <w:sz w:val="32"/>
          <w:szCs w:val="32"/>
        </w:rPr>
        <w:drawing>
          <wp:anchor distT="0" distB="0" distL="114300" distR="114300" simplePos="0" relativeHeight="251661312" behindDoc="0" locked="0" layoutInCell="1" allowOverlap="1">
            <wp:simplePos x="0" y="0"/>
            <wp:positionH relativeFrom="column">
              <wp:posOffset>88900</wp:posOffset>
            </wp:positionH>
            <wp:positionV relativeFrom="paragraph">
              <wp:posOffset>127000</wp:posOffset>
            </wp:positionV>
            <wp:extent cx="5927090" cy="2935605"/>
            <wp:effectExtent l="0" t="0" r="0" b="0"/>
            <wp:wrapTopAndBottom/>
            <wp:docPr id="16" name="对象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C585C" w:rsidRPr="0013481E">
        <w:rPr>
          <w:rFonts w:eastAsia="仿宋_GB2312"/>
          <w:sz w:val="32"/>
          <w:szCs w:val="32"/>
        </w:rPr>
        <w:tab/>
      </w:r>
    </w:p>
    <w:p w:rsidR="00690875" w:rsidRPr="0013481E" w:rsidRDefault="009249F6" w:rsidP="00554432">
      <w:pPr>
        <w:spacing w:afterLines="50" w:line="540" w:lineRule="exact"/>
        <w:ind w:left="0" w:firstLineChars="200" w:firstLine="640"/>
        <w:rPr>
          <w:rFonts w:eastAsia="仿宋_GB2312"/>
          <w:sz w:val="32"/>
          <w:szCs w:val="32"/>
        </w:rPr>
      </w:pPr>
      <w:r w:rsidRPr="0013481E">
        <w:rPr>
          <w:rFonts w:eastAsia="仿宋_GB2312"/>
          <w:sz w:val="32"/>
          <w:szCs w:val="32"/>
        </w:rPr>
        <w:t>2017</w:t>
      </w:r>
      <w:r w:rsidRPr="0013481E">
        <w:rPr>
          <w:rFonts w:eastAsia="仿宋_GB2312"/>
          <w:sz w:val="32"/>
          <w:szCs w:val="32"/>
        </w:rPr>
        <w:t>年，</w:t>
      </w:r>
      <w:r w:rsidR="00770763" w:rsidRPr="0013481E">
        <w:rPr>
          <w:rFonts w:eastAsia="仿宋_GB2312"/>
          <w:sz w:val="32"/>
          <w:szCs w:val="32"/>
        </w:rPr>
        <w:t>全县</w:t>
      </w:r>
      <w:r w:rsidRPr="0013481E">
        <w:rPr>
          <w:rFonts w:eastAsia="仿宋_GB2312"/>
          <w:sz w:val="32"/>
          <w:szCs w:val="32"/>
        </w:rPr>
        <w:t>常住</w:t>
      </w:r>
      <w:r w:rsidR="00770763" w:rsidRPr="0013481E">
        <w:rPr>
          <w:rFonts w:eastAsia="仿宋_GB2312"/>
          <w:sz w:val="32"/>
          <w:szCs w:val="32"/>
        </w:rPr>
        <w:t>城乡居民可支配收入</w:t>
      </w:r>
      <w:r w:rsidR="00690875" w:rsidRPr="0013481E">
        <w:rPr>
          <w:rFonts w:eastAsia="仿宋_GB2312"/>
          <w:sz w:val="32"/>
          <w:szCs w:val="32"/>
        </w:rPr>
        <w:t>19538.5</w:t>
      </w:r>
      <w:r w:rsidR="00770763" w:rsidRPr="0013481E">
        <w:rPr>
          <w:rFonts w:eastAsia="仿宋_GB2312"/>
          <w:sz w:val="32"/>
          <w:szCs w:val="32"/>
        </w:rPr>
        <w:t>元，比上年</w:t>
      </w:r>
      <w:r w:rsidR="00770763" w:rsidRPr="0013481E">
        <w:rPr>
          <w:rFonts w:eastAsia="仿宋_GB2312"/>
          <w:sz w:val="32"/>
          <w:szCs w:val="32"/>
        </w:rPr>
        <w:lastRenderedPageBreak/>
        <w:t>增长</w:t>
      </w:r>
      <w:r w:rsidR="00690875" w:rsidRPr="0013481E">
        <w:rPr>
          <w:rFonts w:eastAsia="仿宋_GB2312"/>
          <w:sz w:val="32"/>
          <w:szCs w:val="32"/>
        </w:rPr>
        <w:t>9.5</w:t>
      </w:r>
      <w:r w:rsidR="00770763" w:rsidRPr="0013481E">
        <w:rPr>
          <w:rFonts w:eastAsia="仿宋_GB2312"/>
          <w:sz w:val="32"/>
          <w:szCs w:val="32"/>
        </w:rPr>
        <w:t>%</w:t>
      </w:r>
      <w:r w:rsidR="00770763" w:rsidRPr="0013481E">
        <w:rPr>
          <w:rFonts w:eastAsia="仿宋_GB2312"/>
          <w:sz w:val="32"/>
          <w:szCs w:val="32"/>
        </w:rPr>
        <w:t>，其中</w:t>
      </w:r>
      <w:r w:rsidR="00146320" w:rsidRPr="0013481E">
        <w:rPr>
          <w:rFonts w:eastAsia="仿宋_GB2312"/>
          <w:sz w:val="32"/>
          <w:szCs w:val="32"/>
        </w:rPr>
        <w:t>城镇居民人均可支配收入</w:t>
      </w:r>
      <w:r w:rsidR="00690875" w:rsidRPr="0013481E">
        <w:rPr>
          <w:rFonts w:eastAsia="仿宋_GB2312"/>
          <w:sz w:val="32"/>
          <w:szCs w:val="32"/>
        </w:rPr>
        <w:t>24084.8</w:t>
      </w:r>
      <w:r w:rsidR="00146320" w:rsidRPr="0013481E">
        <w:rPr>
          <w:rFonts w:eastAsia="仿宋_GB2312"/>
          <w:sz w:val="32"/>
          <w:szCs w:val="32"/>
        </w:rPr>
        <w:t>元，比上年增长</w:t>
      </w:r>
      <w:r w:rsidR="00690875" w:rsidRPr="0013481E">
        <w:rPr>
          <w:rFonts w:eastAsia="仿宋_GB2312"/>
          <w:sz w:val="32"/>
          <w:szCs w:val="32"/>
        </w:rPr>
        <w:t>10.4</w:t>
      </w:r>
      <w:r w:rsidR="00146320" w:rsidRPr="0013481E">
        <w:rPr>
          <w:rFonts w:eastAsia="仿宋_GB2312"/>
          <w:sz w:val="32"/>
          <w:szCs w:val="32"/>
        </w:rPr>
        <w:t>%</w:t>
      </w:r>
      <w:r w:rsidR="00146320" w:rsidRPr="0013481E">
        <w:rPr>
          <w:rFonts w:eastAsia="仿宋_GB2312"/>
          <w:sz w:val="32"/>
          <w:szCs w:val="32"/>
        </w:rPr>
        <w:t>；</w:t>
      </w:r>
      <w:r w:rsidR="00030716" w:rsidRPr="0013481E">
        <w:rPr>
          <w:rFonts w:eastAsia="仿宋_GB2312"/>
          <w:sz w:val="32"/>
          <w:szCs w:val="32"/>
        </w:rPr>
        <w:t>农村居民人均</w:t>
      </w:r>
      <w:r w:rsidR="005F53BD" w:rsidRPr="0013481E">
        <w:rPr>
          <w:rFonts w:eastAsia="仿宋_GB2312"/>
          <w:sz w:val="32"/>
          <w:szCs w:val="32"/>
        </w:rPr>
        <w:t>可支配收入</w:t>
      </w:r>
      <w:r w:rsidR="00690875" w:rsidRPr="0013481E">
        <w:rPr>
          <w:rFonts w:eastAsia="仿宋_GB2312"/>
          <w:sz w:val="32"/>
          <w:szCs w:val="32"/>
        </w:rPr>
        <w:t>14783.8</w:t>
      </w:r>
      <w:r w:rsidR="00030716" w:rsidRPr="0013481E">
        <w:rPr>
          <w:rFonts w:eastAsia="仿宋_GB2312"/>
          <w:sz w:val="32"/>
          <w:szCs w:val="32"/>
        </w:rPr>
        <w:t>元，比上年增长</w:t>
      </w:r>
      <w:r w:rsidR="00770763" w:rsidRPr="0013481E">
        <w:rPr>
          <w:rFonts w:eastAsia="仿宋_GB2312"/>
          <w:sz w:val="32"/>
          <w:szCs w:val="32"/>
        </w:rPr>
        <w:t>7</w:t>
      </w:r>
      <w:r w:rsidR="00030716" w:rsidRPr="0013481E">
        <w:rPr>
          <w:rFonts w:eastAsia="仿宋_GB2312"/>
          <w:sz w:val="32"/>
          <w:szCs w:val="32"/>
        </w:rPr>
        <w:t>%</w:t>
      </w:r>
      <w:r w:rsidR="00030716" w:rsidRPr="0013481E">
        <w:rPr>
          <w:rFonts w:eastAsia="仿宋_GB2312"/>
          <w:sz w:val="32"/>
          <w:szCs w:val="32"/>
        </w:rPr>
        <w:t>。</w:t>
      </w:r>
    </w:p>
    <w:p w:rsidR="00146320" w:rsidRPr="0013481E" w:rsidRDefault="009249F6" w:rsidP="00554432">
      <w:pPr>
        <w:spacing w:afterLines="50" w:line="540" w:lineRule="exact"/>
        <w:ind w:left="0" w:firstLineChars="200" w:firstLine="640"/>
        <w:rPr>
          <w:rFonts w:eastAsia="仿宋_GB2312"/>
          <w:sz w:val="32"/>
          <w:szCs w:val="32"/>
        </w:rPr>
      </w:pPr>
      <w:r w:rsidRPr="0013481E">
        <w:rPr>
          <w:rFonts w:eastAsia="仿宋_GB2312"/>
          <w:sz w:val="32"/>
          <w:szCs w:val="32"/>
        </w:rPr>
        <w:t>年末</w:t>
      </w:r>
      <w:r w:rsidRPr="0013481E">
        <w:rPr>
          <w:rFonts w:eastAsia="仿宋_GB2312"/>
          <w:sz w:val="32"/>
          <w:szCs w:val="32"/>
        </w:rPr>
        <w:t>,</w:t>
      </w:r>
      <w:r w:rsidRPr="0013481E">
        <w:rPr>
          <w:rFonts w:eastAsia="仿宋_GB2312"/>
          <w:sz w:val="32"/>
          <w:szCs w:val="32"/>
        </w:rPr>
        <w:t>全县城镇职工养老保险参保人数（含企业离退休人员）有</w:t>
      </w:r>
      <w:r w:rsidRPr="0013481E">
        <w:rPr>
          <w:rFonts w:eastAsia="仿宋_GB2312"/>
          <w:sz w:val="32"/>
          <w:szCs w:val="32"/>
        </w:rPr>
        <w:t>37804</w:t>
      </w:r>
      <w:r w:rsidRPr="0013481E">
        <w:rPr>
          <w:rFonts w:eastAsia="仿宋_GB2312"/>
          <w:sz w:val="32"/>
          <w:szCs w:val="32"/>
        </w:rPr>
        <w:t>人，比上年末增长</w:t>
      </w:r>
      <w:r w:rsidRPr="0013481E">
        <w:rPr>
          <w:rFonts w:eastAsia="仿宋_GB2312"/>
          <w:sz w:val="32"/>
          <w:szCs w:val="32"/>
        </w:rPr>
        <w:t>2.6%</w:t>
      </w:r>
      <w:r w:rsidRPr="0013481E">
        <w:rPr>
          <w:rFonts w:eastAsia="仿宋_GB2312"/>
          <w:sz w:val="32"/>
          <w:szCs w:val="32"/>
        </w:rPr>
        <w:t>；参加工伤保险的有</w:t>
      </w:r>
      <w:r w:rsidRPr="0013481E">
        <w:rPr>
          <w:rFonts w:eastAsia="仿宋_GB2312"/>
          <w:sz w:val="32"/>
          <w:szCs w:val="32"/>
        </w:rPr>
        <w:t>19510</w:t>
      </w:r>
      <w:r w:rsidRPr="0013481E">
        <w:rPr>
          <w:rFonts w:eastAsia="仿宋_GB2312"/>
          <w:sz w:val="32"/>
          <w:szCs w:val="32"/>
        </w:rPr>
        <w:t>人，增长</w:t>
      </w:r>
      <w:r w:rsidRPr="0013481E">
        <w:rPr>
          <w:rFonts w:eastAsia="仿宋_GB2312"/>
          <w:sz w:val="32"/>
          <w:szCs w:val="32"/>
        </w:rPr>
        <w:t>32.8%</w:t>
      </w:r>
      <w:r w:rsidRPr="0013481E">
        <w:rPr>
          <w:rFonts w:eastAsia="仿宋_GB2312"/>
          <w:sz w:val="32"/>
          <w:szCs w:val="32"/>
        </w:rPr>
        <w:t>；参加职工基本医疗保险的有</w:t>
      </w:r>
      <w:r w:rsidRPr="0013481E">
        <w:rPr>
          <w:rFonts w:eastAsia="仿宋_GB2312"/>
          <w:sz w:val="32"/>
          <w:szCs w:val="32"/>
        </w:rPr>
        <w:t>26835</w:t>
      </w:r>
      <w:r w:rsidRPr="0013481E">
        <w:rPr>
          <w:rFonts w:eastAsia="仿宋_GB2312"/>
          <w:sz w:val="32"/>
          <w:szCs w:val="32"/>
        </w:rPr>
        <w:t>人，增长</w:t>
      </w:r>
      <w:r w:rsidRPr="0013481E">
        <w:rPr>
          <w:rFonts w:eastAsia="仿宋_GB2312"/>
          <w:sz w:val="32"/>
          <w:szCs w:val="32"/>
        </w:rPr>
        <w:t>0.5%</w:t>
      </w:r>
      <w:r w:rsidRPr="0013481E">
        <w:rPr>
          <w:rFonts w:eastAsia="仿宋_GB2312"/>
          <w:sz w:val="32"/>
          <w:szCs w:val="32"/>
        </w:rPr>
        <w:t>；参加职工失业保险的有</w:t>
      </w:r>
      <w:r w:rsidRPr="0013481E">
        <w:rPr>
          <w:rFonts w:eastAsia="仿宋_GB2312"/>
          <w:sz w:val="32"/>
          <w:szCs w:val="32"/>
        </w:rPr>
        <w:t>15321</w:t>
      </w:r>
      <w:r w:rsidRPr="0013481E">
        <w:rPr>
          <w:rFonts w:eastAsia="仿宋_GB2312"/>
          <w:sz w:val="32"/>
          <w:szCs w:val="32"/>
        </w:rPr>
        <w:t>人</w:t>
      </w:r>
      <w:r w:rsidRPr="0013481E">
        <w:rPr>
          <w:rFonts w:eastAsia="仿宋_GB2312"/>
          <w:sz w:val="32"/>
          <w:szCs w:val="32"/>
        </w:rPr>
        <w:t>,</w:t>
      </w:r>
      <w:r w:rsidRPr="0013481E">
        <w:rPr>
          <w:rFonts w:eastAsia="仿宋_GB2312"/>
          <w:sz w:val="32"/>
          <w:szCs w:val="32"/>
        </w:rPr>
        <w:t>增长</w:t>
      </w:r>
      <w:r w:rsidRPr="0013481E">
        <w:rPr>
          <w:rFonts w:eastAsia="仿宋_GB2312"/>
          <w:sz w:val="32"/>
          <w:szCs w:val="32"/>
        </w:rPr>
        <w:t>23.9%</w:t>
      </w:r>
      <w:r w:rsidRPr="0013481E">
        <w:rPr>
          <w:rFonts w:eastAsia="仿宋_GB2312"/>
          <w:sz w:val="32"/>
          <w:szCs w:val="32"/>
        </w:rPr>
        <w:t>；参加生育保险的有</w:t>
      </w:r>
      <w:r w:rsidRPr="0013481E">
        <w:rPr>
          <w:rFonts w:eastAsia="仿宋_GB2312"/>
          <w:sz w:val="32"/>
          <w:szCs w:val="32"/>
        </w:rPr>
        <w:t>17605</w:t>
      </w:r>
      <w:r w:rsidRPr="0013481E">
        <w:rPr>
          <w:rFonts w:eastAsia="仿宋_GB2312"/>
          <w:sz w:val="32"/>
          <w:szCs w:val="32"/>
        </w:rPr>
        <w:t>人，与去年持平。参加城乡居民养老保险的有</w:t>
      </w:r>
      <w:r w:rsidRPr="0013481E">
        <w:rPr>
          <w:rFonts w:eastAsia="仿宋_GB2312"/>
          <w:sz w:val="32"/>
          <w:szCs w:val="32"/>
        </w:rPr>
        <w:t>64907</w:t>
      </w:r>
      <w:r w:rsidRPr="0013481E">
        <w:rPr>
          <w:rFonts w:eastAsia="仿宋_GB2312"/>
          <w:sz w:val="32"/>
          <w:szCs w:val="32"/>
        </w:rPr>
        <w:t>人，</w:t>
      </w:r>
      <w:r w:rsidR="00CC6BED" w:rsidRPr="0013481E">
        <w:rPr>
          <w:rFonts w:eastAsia="仿宋_GB2312"/>
          <w:sz w:val="32"/>
          <w:szCs w:val="32"/>
        </w:rPr>
        <w:t>增长</w:t>
      </w:r>
      <w:r w:rsidR="00CC6BED" w:rsidRPr="0013481E">
        <w:rPr>
          <w:rFonts w:eastAsia="仿宋_GB2312"/>
          <w:sz w:val="32"/>
          <w:szCs w:val="32"/>
        </w:rPr>
        <w:t>1.4</w:t>
      </w:r>
      <w:r w:rsidRPr="0013481E">
        <w:rPr>
          <w:rFonts w:eastAsia="仿宋_GB2312"/>
          <w:sz w:val="32"/>
          <w:szCs w:val="32"/>
        </w:rPr>
        <w:t>；参加城乡居民医疗保险的有</w:t>
      </w:r>
      <w:r w:rsidR="00CC6BED" w:rsidRPr="0013481E">
        <w:rPr>
          <w:rFonts w:eastAsia="仿宋_GB2312"/>
          <w:sz w:val="32"/>
          <w:szCs w:val="32"/>
        </w:rPr>
        <w:t>206409</w:t>
      </w:r>
      <w:r w:rsidRPr="0013481E">
        <w:rPr>
          <w:rFonts w:eastAsia="仿宋_GB2312"/>
          <w:sz w:val="32"/>
          <w:szCs w:val="32"/>
        </w:rPr>
        <w:t>人；城乡居民医疗保险覆盖率</w:t>
      </w:r>
      <w:r w:rsidRPr="0013481E">
        <w:rPr>
          <w:rFonts w:eastAsia="仿宋_GB2312"/>
          <w:sz w:val="32"/>
          <w:szCs w:val="32"/>
        </w:rPr>
        <w:t>100%</w:t>
      </w:r>
      <w:r w:rsidRPr="0013481E">
        <w:rPr>
          <w:rFonts w:eastAsia="仿宋_GB2312"/>
          <w:sz w:val="32"/>
          <w:szCs w:val="32"/>
        </w:rPr>
        <w:t>。全</w:t>
      </w:r>
      <w:r w:rsidR="00CC6BED" w:rsidRPr="0013481E">
        <w:rPr>
          <w:rFonts w:eastAsia="仿宋_GB2312"/>
          <w:sz w:val="32"/>
          <w:szCs w:val="32"/>
        </w:rPr>
        <w:t>县</w:t>
      </w:r>
      <w:r w:rsidRPr="0013481E">
        <w:rPr>
          <w:rFonts w:eastAsia="仿宋_GB2312"/>
          <w:sz w:val="32"/>
          <w:szCs w:val="32"/>
        </w:rPr>
        <w:t>五大险种社会保险费收入</w:t>
      </w:r>
      <w:r w:rsidR="00CC6BED" w:rsidRPr="0013481E">
        <w:rPr>
          <w:rFonts w:eastAsia="仿宋_GB2312"/>
          <w:sz w:val="32"/>
          <w:szCs w:val="32"/>
        </w:rPr>
        <w:t>286213.87</w:t>
      </w:r>
      <w:r w:rsidR="00CC6BED" w:rsidRPr="0013481E">
        <w:rPr>
          <w:rFonts w:eastAsia="仿宋_GB2312"/>
          <w:sz w:val="32"/>
          <w:szCs w:val="32"/>
        </w:rPr>
        <w:t>万</w:t>
      </w:r>
      <w:r w:rsidRPr="0013481E">
        <w:rPr>
          <w:rFonts w:eastAsia="仿宋_GB2312"/>
          <w:sz w:val="32"/>
          <w:szCs w:val="32"/>
        </w:rPr>
        <w:t>元</w:t>
      </w:r>
      <w:r w:rsidRPr="0013481E">
        <w:rPr>
          <w:rFonts w:eastAsia="仿宋_GB2312"/>
          <w:sz w:val="32"/>
          <w:szCs w:val="32"/>
        </w:rPr>
        <w:t>,</w:t>
      </w:r>
      <w:r w:rsidRPr="0013481E">
        <w:rPr>
          <w:rFonts w:eastAsia="仿宋_GB2312"/>
          <w:sz w:val="32"/>
          <w:szCs w:val="32"/>
        </w:rPr>
        <w:t>比上年</w:t>
      </w:r>
      <w:r w:rsidR="00CC6BED" w:rsidRPr="0013481E">
        <w:rPr>
          <w:rFonts w:eastAsia="仿宋_GB2312"/>
          <w:sz w:val="32"/>
          <w:szCs w:val="32"/>
        </w:rPr>
        <w:t>下降</w:t>
      </w:r>
      <w:r w:rsidR="00CC6BED" w:rsidRPr="0013481E">
        <w:rPr>
          <w:rFonts w:eastAsia="仿宋_GB2312"/>
          <w:sz w:val="32"/>
          <w:szCs w:val="32"/>
        </w:rPr>
        <w:t>27.7</w:t>
      </w:r>
      <w:r w:rsidRPr="0013481E">
        <w:rPr>
          <w:rFonts w:eastAsia="仿宋_GB2312"/>
          <w:sz w:val="32"/>
          <w:szCs w:val="32"/>
        </w:rPr>
        <w:t>%</w:t>
      </w:r>
      <w:r w:rsidRPr="0013481E">
        <w:rPr>
          <w:rFonts w:eastAsia="仿宋_GB2312"/>
          <w:sz w:val="32"/>
          <w:szCs w:val="32"/>
        </w:rPr>
        <w:t>。</w:t>
      </w:r>
      <w:r w:rsidR="00FA3E3F" w:rsidRPr="0013481E">
        <w:rPr>
          <w:rFonts w:eastAsia="仿宋_GB2312"/>
          <w:sz w:val="32"/>
          <w:szCs w:val="32"/>
        </w:rPr>
        <w:t xml:space="preserve">  </w:t>
      </w:r>
    </w:p>
    <w:p w:rsidR="007A051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全县有各类型社会福利院</w:t>
      </w:r>
      <w:r w:rsidRPr="0013481E">
        <w:rPr>
          <w:rFonts w:eastAsia="仿宋_GB2312"/>
          <w:sz w:val="32"/>
          <w:szCs w:val="32"/>
        </w:rPr>
        <w:t>1</w:t>
      </w:r>
      <w:r w:rsidR="00CC6BED" w:rsidRPr="0013481E">
        <w:rPr>
          <w:rFonts w:eastAsia="仿宋_GB2312"/>
          <w:sz w:val="32"/>
          <w:szCs w:val="32"/>
        </w:rPr>
        <w:t>3</w:t>
      </w:r>
      <w:r w:rsidRPr="0013481E">
        <w:rPr>
          <w:rFonts w:eastAsia="仿宋_GB2312"/>
          <w:sz w:val="32"/>
          <w:szCs w:val="32"/>
        </w:rPr>
        <w:t>间，床位</w:t>
      </w:r>
      <w:r w:rsidR="00CC6BED" w:rsidRPr="0013481E">
        <w:rPr>
          <w:rFonts w:eastAsia="仿宋_GB2312"/>
          <w:sz w:val="32"/>
          <w:szCs w:val="32"/>
        </w:rPr>
        <w:t>1352</w:t>
      </w:r>
      <w:r w:rsidRPr="0013481E">
        <w:rPr>
          <w:rFonts w:eastAsia="仿宋_GB2312"/>
          <w:sz w:val="32"/>
          <w:szCs w:val="32"/>
        </w:rPr>
        <w:t>张，收养人数</w:t>
      </w:r>
      <w:r w:rsidR="00CC6BED" w:rsidRPr="0013481E">
        <w:rPr>
          <w:rFonts w:eastAsia="仿宋_GB2312"/>
          <w:sz w:val="32"/>
          <w:szCs w:val="32"/>
        </w:rPr>
        <w:t>798</w:t>
      </w:r>
      <w:r w:rsidRPr="0013481E">
        <w:rPr>
          <w:rFonts w:eastAsia="仿宋_GB2312"/>
          <w:sz w:val="32"/>
          <w:szCs w:val="32"/>
        </w:rPr>
        <w:t>人。全县得到各级政府救济</w:t>
      </w:r>
      <w:r w:rsidR="00CC6BED" w:rsidRPr="0013481E">
        <w:rPr>
          <w:rFonts w:eastAsia="仿宋_GB2312"/>
          <w:sz w:val="32"/>
          <w:szCs w:val="32"/>
        </w:rPr>
        <w:t>9238</w:t>
      </w:r>
      <w:r w:rsidRPr="0013481E">
        <w:rPr>
          <w:rFonts w:eastAsia="仿宋_GB2312"/>
          <w:sz w:val="32"/>
          <w:szCs w:val="32"/>
        </w:rPr>
        <w:t>人次；全年共发放救济金额</w:t>
      </w:r>
      <w:r w:rsidR="00CC6BED" w:rsidRPr="0013481E">
        <w:rPr>
          <w:rFonts w:eastAsia="仿宋_GB2312"/>
          <w:sz w:val="32"/>
          <w:szCs w:val="32"/>
        </w:rPr>
        <w:t>2909.24</w:t>
      </w:r>
      <w:r w:rsidRPr="0013481E">
        <w:rPr>
          <w:rFonts w:eastAsia="仿宋_GB2312"/>
          <w:sz w:val="32"/>
          <w:szCs w:val="32"/>
        </w:rPr>
        <w:t>万元。享受低保救济的困难群众</w:t>
      </w:r>
      <w:r w:rsidR="00CC6BED" w:rsidRPr="0013481E">
        <w:rPr>
          <w:rFonts w:eastAsia="仿宋_GB2312"/>
          <w:sz w:val="32"/>
          <w:szCs w:val="32"/>
        </w:rPr>
        <w:t>4455</w:t>
      </w:r>
      <w:r w:rsidRPr="0013481E">
        <w:rPr>
          <w:rFonts w:eastAsia="仿宋_GB2312"/>
          <w:sz w:val="32"/>
          <w:szCs w:val="32"/>
        </w:rPr>
        <w:t>人</w:t>
      </w:r>
      <w:r w:rsidRPr="0013481E">
        <w:rPr>
          <w:rFonts w:eastAsia="仿宋_GB2312"/>
          <w:sz w:val="32"/>
          <w:szCs w:val="32"/>
        </w:rPr>
        <w:t xml:space="preserve">, </w:t>
      </w:r>
      <w:r w:rsidR="00CC6BED" w:rsidRPr="0013481E">
        <w:rPr>
          <w:rFonts w:eastAsia="仿宋_GB2312"/>
          <w:sz w:val="32"/>
          <w:szCs w:val="32"/>
        </w:rPr>
        <w:t>其中城镇</w:t>
      </w:r>
      <w:r w:rsidR="00CC6BED" w:rsidRPr="0013481E">
        <w:rPr>
          <w:rFonts w:eastAsia="仿宋_GB2312"/>
          <w:sz w:val="32"/>
          <w:szCs w:val="32"/>
        </w:rPr>
        <w:t>,429</w:t>
      </w:r>
      <w:r w:rsidR="00CC6BED" w:rsidRPr="0013481E">
        <w:rPr>
          <w:rFonts w:eastAsia="仿宋_GB2312"/>
          <w:sz w:val="32"/>
          <w:szCs w:val="32"/>
        </w:rPr>
        <w:t>人</w:t>
      </w:r>
      <w:r w:rsidR="00CC6BED" w:rsidRPr="0013481E">
        <w:rPr>
          <w:rFonts w:eastAsia="仿宋_GB2312"/>
          <w:sz w:val="32"/>
          <w:szCs w:val="32"/>
        </w:rPr>
        <w:t xml:space="preserve">, </w:t>
      </w:r>
      <w:r w:rsidR="00CC6BED" w:rsidRPr="0013481E">
        <w:rPr>
          <w:rFonts w:eastAsia="仿宋_GB2312"/>
          <w:sz w:val="32"/>
          <w:szCs w:val="32"/>
        </w:rPr>
        <w:t>农村</w:t>
      </w:r>
      <w:r w:rsidR="00CC6BED" w:rsidRPr="0013481E">
        <w:rPr>
          <w:rFonts w:eastAsia="仿宋_GB2312"/>
          <w:sz w:val="32"/>
          <w:szCs w:val="32"/>
        </w:rPr>
        <w:t>4026</w:t>
      </w:r>
      <w:r w:rsidR="00CC6BED" w:rsidRPr="0013481E">
        <w:rPr>
          <w:rFonts w:eastAsia="仿宋_GB2312"/>
          <w:sz w:val="32"/>
          <w:szCs w:val="32"/>
        </w:rPr>
        <w:t>人，</w:t>
      </w:r>
      <w:r w:rsidRPr="0013481E">
        <w:rPr>
          <w:rFonts w:eastAsia="仿宋_GB2312"/>
          <w:sz w:val="32"/>
          <w:szCs w:val="32"/>
        </w:rPr>
        <w:t>发放金额</w:t>
      </w:r>
      <w:r w:rsidR="00CC6BED" w:rsidRPr="0013481E">
        <w:rPr>
          <w:rFonts w:eastAsia="仿宋_GB2312"/>
          <w:sz w:val="32"/>
          <w:szCs w:val="32"/>
        </w:rPr>
        <w:t>1701.11</w:t>
      </w:r>
      <w:r w:rsidR="00CC6BED" w:rsidRPr="0013481E">
        <w:rPr>
          <w:rFonts w:eastAsia="仿宋_GB2312"/>
          <w:sz w:val="32"/>
          <w:szCs w:val="32"/>
        </w:rPr>
        <w:t>万元</w:t>
      </w:r>
      <w:r w:rsidRPr="0013481E">
        <w:rPr>
          <w:rFonts w:eastAsia="仿宋_GB2312"/>
          <w:sz w:val="32"/>
          <w:szCs w:val="32"/>
        </w:rPr>
        <w:t>。</w:t>
      </w:r>
    </w:p>
    <w:p w:rsidR="00401945"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注：</w:t>
      </w:r>
      <w:r w:rsidR="00F84F4B" w:rsidRPr="0013481E">
        <w:rPr>
          <w:rFonts w:eastAsia="仿宋_GB2312"/>
          <w:sz w:val="32"/>
          <w:szCs w:val="32"/>
        </w:rPr>
        <w:t xml:space="preserve"> </w:t>
      </w:r>
      <w:r w:rsidRPr="0013481E">
        <w:rPr>
          <w:rFonts w:eastAsia="仿宋_GB2312"/>
          <w:sz w:val="32"/>
          <w:szCs w:val="32"/>
        </w:rPr>
        <w:t>1</w:t>
      </w:r>
      <w:r w:rsidRPr="0013481E">
        <w:rPr>
          <w:rFonts w:eastAsia="仿宋_GB2312"/>
          <w:sz w:val="32"/>
          <w:szCs w:val="32"/>
        </w:rPr>
        <w:t>、本公报</w:t>
      </w:r>
      <w:r w:rsidR="00CC6BED" w:rsidRPr="0013481E">
        <w:rPr>
          <w:rFonts w:eastAsia="仿宋_GB2312"/>
          <w:sz w:val="32"/>
          <w:szCs w:val="32"/>
        </w:rPr>
        <w:t>2017</w:t>
      </w:r>
      <w:r w:rsidR="00CC6BED" w:rsidRPr="0013481E">
        <w:rPr>
          <w:rFonts w:eastAsia="仿宋_GB2312"/>
          <w:sz w:val="32"/>
          <w:szCs w:val="32"/>
        </w:rPr>
        <w:t>年</w:t>
      </w:r>
      <w:r w:rsidRPr="0013481E">
        <w:rPr>
          <w:rFonts w:eastAsia="仿宋_GB2312"/>
          <w:sz w:val="32"/>
          <w:szCs w:val="32"/>
        </w:rPr>
        <w:t>各项统计数据为初步统计数。</w:t>
      </w:r>
    </w:p>
    <w:p w:rsidR="00FA3E3F" w:rsidRPr="0013481E" w:rsidRDefault="00F84F4B" w:rsidP="00554432">
      <w:pPr>
        <w:spacing w:afterLines="50" w:line="540" w:lineRule="exact"/>
        <w:ind w:left="0" w:firstLineChars="200" w:firstLine="640"/>
        <w:rPr>
          <w:rFonts w:eastAsia="仿宋_GB2312"/>
          <w:sz w:val="32"/>
          <w:szCs w:val="32"/>
        </w:rPr>
      </w:pPr>
      <w:r w:rsidRPr="0013481E">
        <w:rPr>
          <w:rFonts w:eastAsia="仿宋_GB2312"/>
          <w:sz w:val="32"/>
          <w:szCs w:val="32"/>
        </w:rPr>
        <w:t xml:space="preserve"> </w:t>
      </w:r>
      <w:r w:rsidR="00FA3E3F" w:rsidRPr="0013481E">
        <w:rPr>
          <w:rFonts w:eastAsia="仿宋_GB2312"/>
          <w:sz w:val="32"/>
          <w:szCs w:val="32"/>
        </w:rPr>
        <w:t>2</w:t>
      </w:r>
      <w:r w:rsidR="00FA3E3F" w:rsidRPr="0013481E">
        <w:rPr>
          <w:rFonts w:eastAsia="仿宋_GB2312"/>
          <w:sz w:val="32"/>
          <w:szCs w:val="32"/>
        </w:rPr>
        <w:t>、公报中国内生产总值、增加值绝对数按现价计算，增长速度按可比价计算。</w:t>
      </w:r>
    </w:p>
    <w:p w:rsidR="00FA3E3F" w:rsidRPr="0013481E" w:rsidRDefault="00FA3E3F" w:rsidP="00554432">
      <w:pPr>
        <w:spacing w:afterLines="50" w:line="540" w:lineRule="exact"/>
        <w:ind w:left="0" w:firstLineChars="200" w:firstLine="640"/>
        <w:rPr>
          <w:rFonts w:eastAsia="仿宋_GB2312"/>
          <w:sz w:val="32"/>
          <w:szCs w:val="32"/>
        </w:rPr>
      </w:pPr>
      <w:r w:rsidRPr="0013481E">
        <w:rPr>
          <w:rFonts w:eastAsia="仿宋_GB2312"/>
          <w:sz w:val="32"/>
          <w:szCs w:val="32"/>
        </w:rPr>
        <w:t>3</w:t>
      </w:r>
      <w:r w:rsidRPr="0013481E">
        <w:rPr>
          <w:rFonts w:eastAsia="仿宋_GB2312"/>
          <w:sz w:val="32"/>
          <w:szCs w:val="32"/>
        </w:rPr>
        <w:t>、本公报中的各项指标对比基数，为上年《蕉岭统计年鉴》公布的统计数据。</w:t>
      </w:r>
    </w:p>
    <w:p w:rsidR="00CC6BED" w:rsidRPr="0013481E" w:rsidRDefault="009E72B8" w:rsidP="00554432">
      <w:pPr>
        <w:spacing w:afterLines="50" w:line="540" w:lineRule="exact"/>
        <w:ind w:left="0" w:firstLineChars="200" w:firstLine="640"/>
        <w:rPr>
          <w:rFonts w:eastAsia="仿宋_GB2312"/>
          <w:sz w:val="32"/>
          <w:szCs w:val="32"/>
        </w:rPr>
      </w:pPr>
      <w:r w:rsidRPr="0013481E">
        <w:rPr>
          <w:rFonts w:eastAsia="仿宋_GB2312"/>
          <w:sz w:val="32"/>
          <w:szCs w:val="32"/>
        </w:rPr>
        <w:t>4</w:t>
      </w:r>
      <w:r w:rsidRPr="0013481E">
        <w:rPr>
          <w:rFonts w:eastAsia="仿宋_GB2312"/>
          <w:sz w:val="32"/>
          <w:szCs w:val="32"/>
        </w:rPr>
        <w:t>、</w:t>
      </w:r>
      <w:r w:rsidR="00CC6BED" w:rsidRPr="0013481E">
        <w:rPr>
          <w:rFonts w:eastAsia="仿宋_GB2312"/>
          <w:sz w:val="32"/>
          <w:szCs w:val="32"/>
        </w:rPr>
        <w:t>从</w:t>
      </w:r>
      <w:r w:rsidR="00CC6BED" w:rsidRPr="0013481E">
        <w:rPr>
          <w:rFonts w:eastAsia="仿宋_GB2312"/>
          <w:sz w:val="32"/>
          <w:szCs w:val="32"/>
        </w:rPr>
        <w:t>2011</w:t>
      </w:r>
      <w:r w:rsidR="00CC6BED" w:rsidRPr="0013481E">
        <w:rPr>
          <w:rFonts w:eastAsia="仿宋_GB2312"/>
          <w:sz w:val="32"/>
          <w:szCs w:val="32"/>
        </w:rPr>
        <w:t>年起</w:t>
      </w:r>
      <w:r w:rsidR="00CC6BED" w:rsidRPr="0013481E">
        <w:rPr>
          <w:rFonts w:eastAsia="仿宋_GB2312"/>
          <w:sz w:val="32"/>
          <w:szCs w:val="32"/>
        </w:rPr>
        <w:t>,</w:t>
      </w:r>
      <w:r w:rsidR="00CC6BED" w:rsidRPr="0013481E">
        <w:rPr>
          <w:rFonts w:eastAsia="仿宋_GB2312"/>
          <w:sz w:val="32"/>
          <w:szCs w:val="32"/>
        </w:rPr>
        <w:t>规模以上工业统计口径由</w:t>
      </w:r>
      <w:r w:rsidR="00CC6BED" w:rsidRPr="0013481E">
        <w:rPr>
          <w:rFonts w:eastAsia="仿宋_GB2312"/>
          <w:sz w:val="32"/>
          <w:szCs w:val="32"/>
        </w:rPr>
        <w:t>500</w:t>
      </w:r>
      <w:r w:rsidR="00CC6BED" w:rsidRPr="0013481E">
        <w:rPr>
          <w:rFonts w:eastAsia="仿宋_GB2312"/>
          <w:sz w:val="32"/>
          <w:szCs w:val="32"/>
        </w:rPr>
        <w:t>万元调整为</w:t>
      </w:r>
      <w:r w:rsidR="00CC6BED" w:rsidRPr="0013481E">
        <w:rPr>
          <w:rFonts w:eastAsia="仿宋_GB2312"/>
          <w:sz w:val="32"/>
          <w:szCs w:val="32"/>
        </w:rPr>
        <w:t>2000</w:t>
      </w:r>
      <w:r w:rsidR="00CC6BED" w:rsidRPr="0013481E">
        <w:rPr>
          <w:rFonts w:eastAsia="仿宋_GB2312"/>
          <w:sz w:val="32"/>
          <w:szCs w:val="32"/>
        </w:rPr>
        <w:t>万元及以上</w:t>
      </w:r>
      <w:r w:rsidR="00CC6BED" w:rsidRPr="0013481E">
        <w:rPr>
          <w:rFonts w:eastAsia="仿宋_GB2312"/>
          <w:sz w:val="32"/>
          <w:szCs w:val="32"/>
        </w:rPr>
        <w:t>;</w:t>
      </w:r>
      <w:r w:rsidR="00CC6BED" w:rsidRPr="0013481E">
        <w:rPr>
          <w:rFonts w:eastAsia="仿宋_GB2312"/>
          <w:sz w:val="32"/>
          <w:szCs w:val="32"/>
        </w:rPr>
        <w:t>固定资产投资项目统计起点由计划总投资</w:t>
      </w:r>
      <w:r w:rsidR="00CC6BED" w:rsidRPr="0013481E">
        <w:rPr>
          <w:rFonts w:eastAsia="仿宋_GB2312"/>
          <w:sz w:val="32"/>
          <w:szCs w:val="32"/>
        </w:rPr>
        <w:t>50</w:t>
      </w:r>
      <w:r w:rsidR="00CC6BED" w:rsidRPr="0013481E">
        <w:rPr>
          <w:rFonts w:eastAsia="仿宋_GB2312"/>
          <w:sz w:val="32"/>
          <w:szCs w:val="32"/>
        </w:rPr>
        <w:t>万元提高到</w:t>
      </w:r>
      <w:r w:rsidR="00CC6BED" w:rsidRPr="0013481E">
        <w:rPr>
          <w:rFonts w:eastAsia="仿宋_GB2312"/>
          <w:sz w:val="32"/>
          <w:szCs w:val="32"/>
        </w:rPr>
        <w:t>500</w:t>
      </w:r>
      <w:r w:rsidR="00CC6BED" w:rsidRPr="0013481E">
        <w:rPr>
          <w:rFonts w:eastAsia="仿宋_GB2312"/>
          <w:sz w:val="32"/>
          <w:szCs w:val="32"/>
        </w:rPr>
        <w:t>万元</w:t>
      </w:r>
      <w:r w:rsidR="00CC6BED" w:rsidRPr="0013481E">
        <w:rPr>
          <w:rFonts w:eastAsia="仿宋_GB2312"/>
          <w:sz w:val="32"/>
          <w:szCs w:val="32"/>
        </w:rPr>
        <w:t>,</w:t>
      </w:r>
      <w:r w:rsidR="00CC6BED" w:rsidRPr="0013481E">
        <w:rPr>
          <w:rFonts w:eastAsia="仿宋_GB2312"/>
          <w:sz w:val="32"/>
          <w:szCs w:val="32"/>
        </w:rPr>
        <w:t>增速为可比口径。</w:t>
      </w:r>
      <w:r w:rsidR="00CC6BED" w:rsidRPr="0013481E">
        <w:rPr>
          <w:rFonts w:eastAsia="仿宋_GB2312"/>
          <w:sz w:val="32"/>
          <w:szCs w:val="32"/>
        </w:rPr>
        <w:t>2012</w:t>
      </w:r>
      <w:r w:rsidR="00CC6BED" w:rsidRPr="0013481E">
        <w:rPr>
          <w:rFonts w:eastAsia="仿宋_GB2312"/>
          <w:sz w:val="32"/>
          <w:szCs w:val="32"/>
        </w:rPr>
        <w:t>年四季度，国家统计局实施了城乡一体化住户调查改革。</w:t>
      </w:r>
      <w:r w:rsidR="00CC6BED" w:rsidRPr="0013481E">
        <w:rPr>
          <w:rFonts w:eastAsia="仿宋_GB2312"/>
          <w:sz w:val="32"/>
          <w:szCs w:val="32"/>
        </w:rPr>
        <w:t>2013</w:t>
      </w:r>
      <w:r w:rsidR="00CC6BED" w:rsidRPr="0013481E">
        <w:rPr>
          <w:rFonts w:eastAsia="仿宋_GB2312"/>
          <w:sz w:val="32"/>
          <w:szCs w:val="32"/>
        </w:rPr>
        <w:t>年起按照新的调查口径对外发布城乡一体的居民人均可支配收入和分城镇、农村常住居民</w:t>
      </w:r>
      <w:r w:rsidR="00CC6BED" w:rsidRPr="0013481E">
        <w:rPr>
          <w:rFonts w:eastAsia="仿宋_GB2312"/>
          <w:sz w:val="32"/>
          <w:szCs w:val="32"/>
        </w:rPr>
        <w:lastRenderedPageBreak/>
        <w:t>人均可支配收入数据。由于新老调查方案在调查范围、调查对象、城乡划分标准、样本抽选、计算和汇总方式、指标口径等方面变化较大，改革后新口径数据和旧口径数据存在不可比的差异。从</w:t>
      </w:r>
      <w:r w:rsidR="00CC6BED" w:rsidRPr="0013481E">
        <w:rPr>
          <w:rFonts w:eastAsia="仿宋_GB2312"/>
          <w:sz w:val="32"/>
          <w:szCs w:val="32"/>
        </w:rPr>
        <w:t>2015</w:t>
      </w:r>
      <w:r w:rsidR="00CC6BED" w:rsidRPr="0013481E">
        <w:rPr>
          <w:rFonts w:eastAsia="仿宋_GB2312"/>
          <w:sz w:val="32"/>
          <w:szCs w:val="32"/>
        </w:rPr>
        <w:t>年起，</w:t>
      </w:r>
      <w:r w:rsidR="00CC6BED" w:rsidRPr="0013481E">
        <w:rPr>
          <w:rFonts w:eastAsia="仿宋_GB2312"/>
          <w:sz w:val="32"/>
          <w:szCs w:val="32"/>
        </w:rPr>
        <w:t>“</w:t>
      </w:r>
      <w:r w:rsidR="00CC6BED" w:rsidRPr="0013481E">
        <w:rPr>
          <w:rFonts w:eastAsia="仿宋_GB2312"/>
          <w:sz w:val="32"/>
          <w:szCs w:val="32"/>
        </w:rPr>
        <w:t>地方公共财政预算收入</w:t>
      </w:r>
      <w:r w:rsidR="00CC6BED" w:rsidRPr="0013481E">
        <w:rPr>
          <w:rFonts w:eastAsia="仿宋_GB2312"/>
          <w:sz w:val="32"/>
          <w:szCs w:val="32"/>
        </w:rPr>
        <w:t>”</w:t>
      </w:r>
      <w:r w:rsidR="00CC6BED" w:rsidRPr="0013481E">
        <w:rPr>
          <w:rFonts w:eastAsia="仿宋_GB2312"/>
          <w:sz w:val="32"/>
          <w:szCs w:val="32"/>
        </w:rPr>
        <w:t>更名为</w:t>
      </w:r>
      <w:r w:rsidR="00CC6BED" w:rsidRPr="0013481E">
        <w:rPr>
          <w:rFonts w:eastAsia="仿宋_GB2312"/>
          <w:sz w:val="32"/>
          <w:szCs w:val="32"/>
        </w:rPr>
        <w:t>“</w:t>
      </w:r>
      <w:r w:rsidR="00CC6BED" w:rsidRPr="0013481E">
        <w:rPr>
          <w:rFonts w:eastAsia="仿宋_GB2312"/>
          <w:sz w:val="32"/>
          <w:szCs w:val="32"/>
        </w:rPr>
        <w:t>地方一般公共预算收入</w:t>
      </w:r>
      <w:r w:rsidR="00CC6BED" w:rsidRPr="0013481E">
        <w:rPr>
          <w:rFonts w:eastAsia="仿宋_GB2312"/>
          <w:sz w:val="32"/>
          <w:szCs w:val="32"/>
        </w:rPr>
        <w:t>”</w:t>
      </w:r>
      <w:r w:rsidR="00CC6BED" w:rsidRPr="0013481E">
        <w:rPr>
          <w:rFonts w:eastAsia="仿宋_GB2312"/>
          <w:sz w:val="32"/>
          <w:szCs w:val="32"/>
        </w:rPr>
        <w:t>，各项存款余额中，</w:t>
      </w:r>
      <w:r w:rsidR="00CC6BED" w:rsidRPr="0013481E">
        <w:rPr>
          <w:rFonts w:eastAsia="仿宋_GB2312"/>
          <w:sz w:val="32"/>
          <w:szCs w:val="32"/>
        </w:rPr>
        <w:t>“</w:t>
      </w:r>
      <w:r w:rsidR="00CC6BED" w:rsidRPr="0013481E">
        <w:rPr>
          <w:rFonts w:eastAsia="仿宋_GB2312"/>
          <w:sz w:val="32"/>
          <w:szCs w:val="32"/>
        </w:rPr>
        <w:t>单位存款</w:t>
      </w:r>
      <w:r w:rsidR="00CC6BED" w:rsidRPr="0013481E">
        <w:rPr>
          <w:rFonts w:eastAsia="仿宋_GB2312"/>
          <w:sz w:val="32"/>
          <w:szCs w:val="32"/>
        </w:rPr>
        <w:t>”</w:t>
      </w:r>
      <w:r w:rsidR="00CC6BED" w:rsidRPr="0013481E">
        <w:rPr>
          <w:rFonts w:eastAsia="仿宋_GB2312"/>
          <w:sz w:val="32"/>
          <w:szCs w:val="32"/>
        </w:rPr>
        <w:t>更名为</w:t>
      </w:r>
      <w:r w:rsidR="00CC6BED" w:rsidRPr="0013481E">
        <w:rPr>
          <w:rFonts w:eastAsia="仿宋_GB2312"/>
          <w:sz w:val="32"/>
          <w:szCs w:val="32"/>
        </w:rPr>
        <w:t>“</w:t>
      </w:r>
      <w:r w:rsidR="00CC6BED" w:rsidRPr="0013481E">
        <w:rPr>
          <w:rFonts w:eastAsia="仿宋_GB2312"/>
          <w:sz w:val="32"/>
          <w:szCs w:val="32"/>
        </w:rPr>
        <w:t>非金融企业存款</w:t>
      </w:r>
      <w:r w:rsidR="00CC6BED" w:rsidRPr="0013481E">
        <w:rPr>
          <w:rFonts w:eastAsia="仿宋_GB2312"/>
          <w:sz w:val="32"/>
          <w:szCs w:val="32"/>
        </w:rPr>
        <w:t>”</w:t>
      </w:r>
      <w:r w:rsidR="00CC6BED" w:rsidRPr="0013481E">
        <w:rPr>
          <w:rFonts w:eastAsia="仿宋_GB2312"/>
          <w:sz w:val="32"/>
          <w:szCs w:val="32"/>
        </w:rPr>
        <w:t>、</w:t>
      </w:r>
      <w:r w:rsidR="00CC6BED" w:rsidRPr="0013481E">
        <w:rPr>
          <w:rFonts w:eastAsia="仿宋_GB2312"/>
          <w:sz w:val="32"/>
          <w:szCs w:val="32"/>
        </w:rPr>
        <w:t>“</w:t>
      </w:r>
      <w:r w:rsidR="00CC6BED" w:rsidRPr="0013481E">
        <w:rPr>
          <w:rFonts w:eastAsia="仿宋_GB2312"/>
          <w:sz w:val="32"/>
          <w:szCs w:val="32"/>
        </w:rPr>
        <w:t>储蓄存款</w:t>
      </w:r>
      <w:r w:rsidR="00CC6BED" w:rsidRPr="0013481E">
        <w:rPr>
          <w:rFonts w:eastAsia="仿宋_GB2312"/>
          <w:sz w:val="32"/>
          <w:szCs w:val="32"/>
        </w:rPr>
        <w:t>”</w:t>
      </w:r>
      <w:r w:rsidR="00CC6BED" w:rsidRPr="0013481E">
        <w:rPr>
          <w:rFonts w:eastAsia="仿宋_GB2312"/>
          <w:sz w:val="32"/>
          <w:szCs w:val="32"/>
        </w:rPr>
        <w:t>更名为</w:t>
      </w:r>
      <w:r w:rsidR="00CC6BED" w:rsidRPr="0013481E">
        <w:rPr>
          <w:rFonts w:eastAsia="仿宋_GB2312"/>
          <w:sz w:val="32"/>
          <w:szCs w:val="32"/>
        </w:rPr>
        <w:t>“</w:t>
      </w:r>
      <w:r w:rsidR="00CC6BED" w:rsidRPr="0013481E">
        <w:rPr>
          <w:rFonts w:eastAsia="仿宋_GB2312"/>
          <w:sz w:val="32"/>
          <w:szCs w:val="32"/>
        </w:rPr>
        <w:t>住户存款</w:t>
      </w:r>
      <w:r w:rsidR="00CC6BED" w:rsidRPr="0013481E">
        <w:rPr>
          <w:rFonts w:eastAsia="仿宋_GB2312"/>
          <w:sz w:val="32"/>
          <w:szCs w:val="32"/>
        </w:rPr>
        <w:t>”</w:t>
      </w:r>
      <w:r w:rsidR="00CC6BED" w:rsidRPr="0013481E">
        <w:rPr>
          <w:rFonts w:eastAsia="仿宋_GB2312"/>
          <w:sz w:val="32"/>
          <w:szCs w:val="32"/>
        </w:rPr>
        <w:t>。</w:t>
      </w:r>
    </w:p>
    <w:p w:rsidR="00CC6BED" w:rsidRPr="0013481E" w:rsidRDefault="00CC6BED" w:rsidP="00554432">
      <w:pPr>
        <w:spacing w:afterLines="50" w:line="540" w:lineRule="exact"/>
        <w:ind w:left="0" w:firstLineChars="200" w:firstLine="640"/>
        <w:rPr>
          <w:rFonts w:eastAsia="仿宋_GB2312"/>
          <w:sz w:val="32"/>
          <w:szCs w:val="32"/>
        </w:rPr>
      </w:pPr>
      <w:r w:rsidRPr="0013481E">
        <w:rPr>
          <w:rFonts w:eastAsia="仿宋_GB2312"/>
          <w:sz w:val="32"/>
          <w:szCs w:val="32"/>
        </w:rPr>
        <w:t>5</w:t>
      </w:r>
      <w:r w:rsidRPr="0013481E">
        <w:rPr>
          <w:rFonts w:eastAsia="仿宋_GB2312"/>
          <w:sz w:val="32"/>
          <w:szCs w:val="32"/>
        </w:rPr>
        <w:t>、数据来源：本公报中城镇新增就业、登记失业率、社会保障数据来自县人力资源社会保障局</w:t>
      </w:r>
      <w:r w:rsidRPr="0013481E">
        <w:rPr>
          <w:rFonts w:eastAsia="仿宋_GB2312"/>
          <w:sz w:val="32"/>
          <w:szCs w:val="32"/>
        </w:rPr>
        <w:t>;</w:t>
      </w:r>
      <w:r w:rsidRPr="0013481E">
        <w:rPr>
          <w:rFonts w:eastAsia="仿宋_GB2312"/>
          <w:sz w:val="32"/>
          <w:szCs w:val="32"/>
        </w:rPr>
        <w:t>财政数据来自县财政局</w:t>
      </w:r>
      <w:r w:rsidRPr="0013481E">
        <w:rPr>
          <w:rFonts w:eastAsia="仿宋_GB2312"/>
          <w:sz w:val="32"/>
          <w:szCs w:val="32"/>
        </w:rPr>
        <w:t>;</w:t>
      </w:r>
      <w:r w:rsidRPr="0013481E">
        <w:rPr>
          <w:rFonts w:eastAsia="仿宋_GB2312"/>
          <w:sz w:val="32"/>
          <w:szCs w:val="32"/>
        </w:rPr>
        <w:t>新农村客运、公路、旅客和货物周转量等数据来自县交通</w:t>
      </w:r>
      <w:r w:rsidR="00447E46">
        <w:rPr>
          <w:rFonts w:eastAsia="仿宋_GB2312" w:hint="eastAsia"/>
          <w:sz w:val="32"/>
          <w:szCs w:val="32"/>
        </w:rPr>
        <w:t>运输</w:t>
      </w:r>
      <w:r w:rsidRPr="0013481E">
        <w:rPr>
          <w:rFonts w:eastAsia="仿宋_GB2312"/>
          <w:sz w:val="32"/>
          <w:szCs w:val="32"/>
        </w:rPr>
        <w:t>局</w:t>
      </w:r>
      <w:r w:rsidRPr="0013481E">
        <w:rPr>
          <w:rFonts w:eastAsia="仿宋_GB2312"/>
          <w:sz w:val="32"/>
          <w:szCs w:val="32"/>
        </w:rPr>
        <w:t>;</w:t>
      </w:r>
      <w:r w:rsidR="003847D8" w:rsidRPr="0013481E">
        <w:rPr>
          <w:rFonts w:eastAsia="仿宋_GB2312"/>
          <w:sz w:val="32"/>
          <w:szCs w:val="32"/>
        </w:rPr>
        <w:t>水资源、</w:t>
      </w:r>
      <w:r w:rsidRPr="0013481E">
        <w:rPr>
          <w:rFonts w:eastAsia="仿宋_GB2312"/>
          <w:sz w:val="32"/>
          <w:szCs w:val="32"/>
        </w:rPr>
        <w:t>城市污水处理数据来自</w:t>
      </w:r>
      <w:r w:rsidR="003847D8" w:rsidRPr="0013481E">
        <w:rPr>
          <w:rFonts w:eastAsia="仿宋_GB2312"/>
          <w:sz w:val="32"/>
          <w:szCs w:val="32"/>
        </w:rPr>
        <w:t>县水务局</w:t>
      </w:r>
      <w:r w:rsidRPr="0013481E">
        <w:rPr>
          <w:rFonts w:eastAsia="仿宋_GB2312"/>
          <w:sz w:val="32"/>
          <w:szCs w:val="32"/>
        </w:rPr>
        <w:t>;</w:t>
      </w:r>
      <w:r w:rsidRPr="0013481E">
        <w:rPr>
          <w:rFonts w:eastAsia="仿宋_GB2312"/>
          <w:sz w:val="32"/>
          <w:szCs w:val="32"/>
        </w:rPr>
        <w:t>外贸进出口、外商直接投资</w:t>
      </w:r>
      <w:r w:rsidR="003847D8" w:rsidRPr="0013481E">
        <w:rPr>
          <w:rFonts w:eastAsia="仿宋_GB2312"/>
          <w:sz w:val="32"/>
          <w:szCs w:val="32"/>
        </w:rPr>
        <w:t>、科技成果、专利数据</w:t>
      </w:r>
      <w:r w:rsidRPr="0013481E">
        <w:rPr>
          <w:rFonts w:eastAsia="仿宋_GB2312"/>
          <w:sz w:val="32"/>
          <w:szCs w:val="32"/>
        </w:rPr>
        <w:t>等数据来自</w:t>
      </w:r>
      <w:r w:rsidR="003847D8" w:rsidRPr="0013481E">
        <w:rPr>
          <w:rFonts w:eastAsia="仿宋_GB2312"/>
          <w:sz w:val="32"/>
          <w:szCs w:val="32"/>
        </w:rPr>
        <w:t>县科工商务局</w:t>
      </w:r>
      <w:r w:rsidRPr="0013481E">
        <w:rPr>
          <w:rFonts w:eastAsia="仿宋_GB2312"/>
          <w:sz w:val="32"/>
          <w:szCs w:val="32"/>
        </w:rPr>
        <w:t>;</w:t>
      </w:r>
      <w:r w:rsidRPr="0013481E">
        <w:rPr>
          <w:rFonts w:eastAsia="仿宋_GB2312"/>
          <w:sz w:val="32"/>
          <w:szCs w:val="32"/>
        </w:rPr>
        <w:t>互联网用户、邮电业务总量等数据来自</w:t>
      </w:r>
      <w:r w:rsidR="003847D8" w:rsidRPr="0013481E">
        <w:rPr>
          <w:rFonts w:eastAsia="仿宋_GB2312"/>
          <w:sz w:val="32"/>
          <w:szCs w:val="32"/>
        </w:rPr>
        <w:t>县</w:t>
      </w:r>
      <w:r w:rsidRPr="0013481E">
        <w:rPr>
          <w:rFonts w:eastAsia="仿宋_GB2312"/>
          <w:sz w:val="32"/>
          <w:szCs w:val="32"/>
        </w:rPr>
        <w:t>邮政及通信部门</w:t>
      </w:r>
      <w:r w:rsidRPr="0013481E">
        <w:rPr>
          <w:rFonts w:eastAsia="仿宋_GB2312"/>
          <w:sz w:val="32"/>
          <w:szCs w:val="32"/>
        </w:rPr>
        <w:t>(</w:t>
      </w:r>
      <w:r w:rsidRPr="0013481E">
        <w:rPr>
          <w:rFonts w:eastAsia="仿宋_GB2312"/>
          <w:sz w:val="32"/>
          <w:szCs w:val="32"/>
        </w:rPr>
        <w:t>单位</w:t>
      </w:r>
      <w:r w:rsidRPr="0013481E">
        <w:rPr>
          <w:rFonts w:eastAsia="仿宋_GB2312"/>
          <w:sz w:val="32"/>
          <w:szCs w:val="32"/>
        </w:rPr>
        <w:t>);</w:t>
      </w:r>
      <w:r w:rsidRPr="0013481E">
        <w:rPr>
          <w:rFonts w:eastAsia="仿宋_GB2312"/>
          <w:sz w:val="32"/>
          <w:szCs w:val="32"/>
        </w:rPr>
        <w:t>金融数据来自</w:t>
      </w:r>
      <w:r w:rsidR="003847D8" w:rsidRPr="0013481E">
        <w:rPr>
          <w:rFonts w:eastAsia="仿宋_GB2312"/>
          <w:sz w:val="32"/>
          <w:szCs w:val="32"/>
        </w:rPr>
        <w:t>县</w:t>
      </w:r>
      <w:r w:rsidRPr="0013481E">
        <w:rPr>
          <w:rFonts w:eastAsia="仿宋_GB2312"/>
          <w:sz w:val="32"/>
          <w:szCs w:val="32"/>
        </w:rPr>
        <w:t>人民银行、</w:t>
      </w:r>
      <w:r w:rsidR="003847D8" w:rsidRPr="0013481E">
        <w:rPr>
          <w:rFonts w:eastAsia="仿宋_GB2312"/>
          <w:sz w:val="32"/>
          <w:szCs w:val="32"/>
        </w:rPr>
        <w:t>县</w:t>
      </w:r>
      <w:r w:rsidRPr="0013481E">
        <w:rPr>
          <w:rFonts w:eastAsia="仿宋_GB2312"/>
          <w:sz w:val="32"/>
          <w:szCs w:val="32"/>
        </w:rPr>
        <w:t>金融局</w:t>
      </w:r>
      <w:r w:rsidRPr="0013481E">
        <w:rPr>
          <w:rFonts w:eastAsia="仿宋_GB2312"/>
          <w:sz w:val="32"/>
          <w:szCs w:val="32"/>
        </w:rPr>
        <w:t>;</w:t>
      </w:r>
      <w:r w:rsidRPr="0013481E">
        <w:rPr>
          <w:rFonts w:eastAsia="仿宋_GB2312"/>
          <w:sz w:val="32"/>
          <w:szCs w:val="32"/>
        </w:rPr>
        <w:t>保险业数据来自</w:t>
      </w:r>
      <w:r w:rsidR="003847D8" w:rsidRPr="0013481E">
        <w:rPr>
          <w:rFonts w:eastAsia="仿宋_GB2312"/>
          <w:sz w:val="32"/>
          <w:szCs w:val="32"/>
        </w:rPr>
        <w:t>县人力资源和社会保障局、县财产保险、人寿保险公司</w:t>
      </w:r>
      <w:r w:rsidRPr="0013481E">
        <w:rPr>
          <w:rFonts w:eastAsia="仿宋_GB2312"/>
          <w:sz w:val="32"/>
          <w:szCs w:val="32"/>
        </w:rPr>
        <w:t>;</w:t>
      </w:r>
      <w:r w:rsidRPr="0013481E">
        <w:rPr>
          <w:rFonts w:eastAsia="仿宋_GB2312"/>
          <w:sz w:val="32"/>
          <w:szCs w:val="32"/>
        </w:rPr>
        <w:t>教育数据来自</w:t>
      </w:r>
      <w:r w:rsidR="003847D8" w:rsidRPr="0013481E">
        <w:rPr>
          <w:rFonts w:eastAsia="仿宋_GB2312"/>
          <w:sz w:val="32"/>
          <w:szCs w:val="32"/>
        </w:rPr>
        <w:t>县</w:t>
      </w:r>
      <w:r w:rsidRPr="0013481E">
        <w:rPr>
          <w:rFonts w:eastAsia="仿宋_GB2312"/>
          <w:sz w:val="32"/>
          <w:szCs w:val="32"/>
        </w:rPr>
        <w:t>教育局</w:t>
      </w:r>
      <w:r w:rsidR="00B40C1C" w:rsidRPr="0013481E">
        <w:rPr>
          <w:rFonts w:eastAsia="仿宋_GB2312"/>
          <w:sz w:val="32"/>
          <w:szCs w:val="32"/>
        </w:rPr>
        <w:t>和蕉华区</w:t>
      </w:r>
      <w:r w:rsidRPr="0013481E">
        <w:rPr>
          <w:rFonts w:eastAsia="仿宋_GB2312"/>
          <w:sz w:val="32"/>
          <w:szCs w:val="32"/>
        </w:rPr>
        <w:t>;</w:t>
      </w:r>
      <w:r w:rsidR="00B40C1C" w:rsidRPr="0013481E">
        <w:rPr>
          <w:rFonts w:eastAsia="仿宋_GB2312"/>
          <w:sz w:val="32"/>
          <w:szCs w:val="32"/>
        </w:rPr>
        <w:t xml:space="preserve"> </w:t>
      </w:r>
      <w:r w:rsidR="00B40C1C" w:rsidRPr="0013481E">
        <w:rPr>
          <w:rFonts w:eastAsia="仿宋_GB2312"/>
          <w:sz w:val="32"/>
          <w:szCs w:val="32"/>
        </w:rPr>
        <w:t>旅游数据、</w:t>
      </w:r>
      <w:r w:rsidRPr="0013481E">
        <w:rPr>
          <w:rFonts w:eastAsia="仿宋_GB2312"/>
          <w:sz w:val="32"/>
          <w:szCs w:val="32"/>
        </w:rPr>
        <w:t>博物馆、公共图书馆、文化馆、</w:t>
      </w:r>
      <w:r w:rsidR="00B40C1C" w:rsidRPr="0013481E">
        <w:rPr>
          <w:rFonts w:eastAsia="仿宋_GB2312"/>
          <w:sz w:val="32"/>
          <w:szCs w:val="32"/>
        </w:rPr>
        <w:t>图书数据、体育数据</w:t>
      </w:r>
      <w:r w:rsidRPr="0013481E">
        <w:rPr>
          <w:rFonts w:eastAsia="仿宋_GB2312"/>
          <w:sz w:val="32"/>
          <w:szCs w:val="32"/>
        </w:rPr>
        <w:t>来自</w:t>
      </w:r>
      <w:r w:rsidR="00B40C1C" w:rsidRPr="0013481E">
        <w:rPr>
          <w:rFonts w:eastAsia="仿宋_GB2312"/>
          <w:sz w:val="32"/>
          <w:szCs w:val="32"/>
        </w:rPr>
        <w:t>县</w:t>
      </w:r>
      <w:r w:rsidRPr="0013481E">
        <w:rPr>
          <w:rFonts w:eastAsia="仿宋_GB2312"/>
          <w:sz w:val="32"/>
          <w:szCs w:val="32"/>
        </w:rPr>
        <w:t>文</w:t>
      </w:r>
      <w:r w:rsidR="00B40C1C" w:rsidRPr="0013481E">
        <w:rPr>
          <w:rFonts w:eastAsia="仿宋_GB2312"/>
          <w:sz w:val="32"/>
          <w:szCs w:val="32"/>
        </w:rPr>
        <w:t>体旅游</w:t>
      </w:r>
      <w:r w:rsidRPr="0013481E">
        <w:rPr>
          <w:rFonts w:eastAsia="仿宋_GB2312"/>
          <w:sz w:val="32"/>
          <w:szCs w:val="32"/>
        </w:rPr>
        <w:t>局</w:t>
      </w:r>
      <w:r w:rsidR="00B40C1C" w:rsidRPr="0013481E">
        <w:rPr>
          <w:rFonts w:eastAsia="仿宋_GB2312"/>
          <w:sz w:val="32"/>
          <w:szCs w:val="32"/>
        </w:rPr>
        <w:t>；广播、电视数据来自县广播电视台</w:t>
      </w:r>
      <w:r w:rsidRPr="0013481E">
        <w:rPr>
          <w:rFonts w:eastAsia="仿宋_GB2312"/>
          <w:sz w:val="32"/>
          <w:szCs w:val="32"/>
        </w:rPr>
        <w:t>;</w:t>
      </w:r>
      <w:r w:rsidRPr="0013481E">
        <w:rPr>
          <w:rFonts w:eastAsia="仿宋_GB2312"/>
          <w:sz w:val="32"/>
          <w:szCs w:val="32"/>
        </w:rPr>
        <w:t>卫生数据来自</w:t>
      </w:r>
      <w:r w:rsidR="00B40C1C" w:rsidRPr="0013481E">
        <w:rPr>
          <w:rFonts w:eastAsia="仿宋_GB2312"/>
          <w:sz w:val="32"/>
          <w:szCs w:val="32"/>
        </w:rPr>
        <w:t>县</w:t>
      </w:r>
      <w:r w:rsidRPr="0013481E">
        <w:rPr>
          <w:rFonts w:eastAsia="仿宋_GB2312"/>
          <w:sz w:val="32"/>
          <w:szCs w:val="32"/>
        </w:rPr>
        <w:t>卫计局</w:t>
      </w:r>
      <w:r w:rsidRPr="0013481E">
        <w:rPr>
          <w:rFonts w:eastAsia="仿宋_GB2312"/>
          <w:sz w:val="32"/>
          <w:szCs w:val="32"/>
        </w:rPr>
        <w:t>;</w:t>
      </w:r>
      <w:r w:rsidRPr="0013481E">
        <w:rPr>
          <w:rFonts w:eastAsia="仿宋_GB2312"/>
          <w:sz w:val="32"/>
          <w:szCs w:val="32"/>
        </w:rPr>
        <w:t>户籍人口数据来自</w:t>
      </w:r>
      <w:r w:rsidR="00B40C1C" w:rsidRPr="0013481E">
        <w:rPr>
          <w:rFonts w:eastAsia="仿宋_GB2312"/>
          <w:sz w:val="32"/>
          <w:szCs w:val="32"/>
        </w:rPr>
        <w:t>县公安局；低保、社会救助</w:t>
      </w:r>
      <w:r w:rsidRPr="0013481E">
        <w:rPr>
          <w:rFonts w:eastAsia="仿宋_GB2312"/>
          <w:sz w:val="32"/>
          <w:szCs w:val="32"/>
        </w:rPr>
        <w:t>数据来自</w:t>
      </w:r>
      <w:r w:rsidR="00B40C1C" w:rsidRPr="0013481E">
        <w:rPr>
          <w:rFonts w:eastAsia="仿宋_GB2312"/>
          <w:sz w:val="32"/>
          <w:szCs w:val="32"/>
        </w:rPr>
        <w:t>县</w:t>
      </w:r>
      <w:r w:rsidRPr="0013481E">
        <w:rPr>
          <w:rFonts w:eastAsia="仿宋_GB2312"/>
          <w:sz w:val="32"/>
          <w:szCs w:val="32"/>
        </w:rPr>
        <w:t>民政局</w:t>
      </w:r>
      <w:r w:rsidR="00B40C1C" w:rsidRPr="0013481E">
        <w:rPr>
          <w:rFonts w:eastAsia="仿宋_GB2312"/>
          <w:sz w:val="32"/>
          <w:szCs w:val="32"/>
        </w:rPr>
        <w:t>和蕉华区</w:t>
      </w:r>
      <w:r w:rsidRPr="0013481E">
        <w:rPr>
          <w:rFonts w:eastAsia="仿宋_GB2312"/>
          <w:sz w:val="32"/>
          <w:szCs w:val="32"/>
        </w:rPr>
        <w:t>;</w:t>
      </w:r>
      <w:r w:rsidRPr="0013481E">
        <w:rPr>
          <w:rFonts w:eastAsia="仿宋_GB2312"/>
          <w:sz w:val="32"/>
          <w:szCs w:val="32"/>
        </w:rPr>
        <w:t>环境监测数据来自</w:t>
      </w:r>
      <w:r w:rsidR="00B40C1C" w:rsidRPr="0013481E">
        <w:rPr>
          <w:rFonts w:eastAsia="仿宋_GB2312"/>
          <w:sz w:val="32"/>
          <w:szCs w:val="32"/>
        </w:rPr>
        <w:t>县</w:t>
      </w:r>
      <w:r w:rsidRPr="0013481E">
        <w:rPr>
          <w:rFonts w:eastAsia="仿宋_GB2312"/>
          <w:sz w:val="32"/>
          <w:szCs w:val="32"/>
        </w:rPr>
        <w:t>环境保护局</w:t>
      </w:r>
      <w:r w:rsidRPr="0013481E">
        <w:rPr>
          <w:rFonts w:eastAsia="仿宋_GB2312"/>
          <w:sz w:val="32"/>
          <w:szCs w:val="32"/>
        </w:rPr>
        <w:t>;</w:t>
      </w:r>
      <w:r w:rsidRPr="0013481E">
        <w:rPr>
          <w:rFonts w:eastAsia="仿宋_GB2312"/>
          <w:sz w:val="32"/>
          <w:szCs w:val="32"/>
        </w:rPr>
        <w:t>林业数据来自</w:t>
      </w:r>
      <w:r w:rsidR="00EE3A91" w:rsidRPr="0013481E">
        <w:rPr>
          <w:rFonts w:eastAsia="仿宋_GB2312"/>
          <w:sz w:val="32"/>
          <w:szCs w:val="32"/>
        </w:rPr>
        <w:t>县</w:t>
      </w:r>
      <w:r w:rsidRPr="0013481E">
        <w:rPr>
          <w:rFonts w:eastAsia="仿宋_GB2312"/>
          <w:sz w:val="32"/>
          <w:szCs w:val="32"/>
        </w:rPr>
        <w:t>林业局</w:t>
      </w:r>
      <w:r w:rsidRPr="0013481E">
        <w:rPr>
          <w:rFonts w:eastAsia="仿宋_GB2312"/>
          <w:sz w:val="32"/>
          <w:szCs w:val="32"/>
        </w:rPr>
        <w:t>;</w:t>
      </w:r>
      <w:r w:rsidRPr="0013481E">
        <w:rPr>
          <w:rFonts w:eastAsia="仿宋_GB2312"/>
          <w:sz w:val="32"/>
          <w:szCs w:val="32"/>
        </w:rPr>
        <w:t>其他数据来自</w:t>
      </w:r>
      <w:r w:rsidR="00B40C1C" w:rsidRPr="0013481E">
        <w:rPr>
          <w:rFonts w:eastAsia="仿宋_GB2312"/>
          <w:sz w:val="32"/>
          <w:szCs w:val="32"/>
        </w:rPr>
        <w:t>县统计局</w:t>
      </w:r>
      <w:r w:rsidRPr="0013481E">
        <w:rPr>
          <w:rFonts w:eastAsia="仿宋_GB2312"/>
          <w:sz w:val="32"/>
          <w:szCs w:val="32"/>
        </w:rPr>
        <w:t>。</w:t>
      </w:r>
    </w:p>
    <w:p w:rsidR="00CC6BED" w:rsidRPr="0013481E" w:rsidRDefault="00CC6BED" w:rsidP="005B69B3">
      <w:pPr>
        <w:spacing w:afterLines="50" w:line="540" w:lineRule="exact"/>
        <w:ind w:left="0" w:firstLineChars="200" w:firstLine="640"/>
        <w:rPr>
          <w:rFonts w:eastAsia="仿宋_GB2312"/>
          <w:sz w:val="32"/>
          <w:szCs w:val="32"/>
        </w:rPr>
      </w:pPr>
    </w:p>
    <w:sectPr w:rsidR="00CC6BED" w:rsidRPr="0013481E" w:rsidSect="00796618">
      <w:headerReference w:type="even" r:id="rId21"/>
      <w:headerReference w:type="default" r:id="rId22"/>
      <w:footerReference w:type="even" r:id="rId23"/>
      <w:footerReference w:type="default" r:id="rId24"/>
      <w:footnotePr>
        <w:numFmt w:val="decimalHalfWidth"/>
      </w:footnotePr>
      <w:endnotePr>
        <w:numFmt w:val="chineseCounting"/>
      </w:endnotePr>
      <w:pgSz w:w="11905" w:h="16837"/>
      <w:pgMar w:top="1560" w:right="1417" w:bottom="1417" w:left="1417" w:header="720"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30" w:rsidRDefault="00136930">
      <w:pPr>
        <w:spacing w:line="240" w:lineRule="auto"/>
      </w:pPr>
      <w:r>
        <w:separator/>
      </w:r>
    </w:p>
  </w:endnote>
  <w:endnote w:type="continuationSeparator" w:id="1">
    <w:p w:rsidR="00136930" w:rsidRDefault="001369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48" w:rsidRDefault="005B69B3">
    <w:pPr>
      <w:spacing w:line="1" w:lineRule="atLeast"/>
    </w:pPr>
    <w:r>
      <w:pict>
        <v:shapetype id="_x0000_t202" coordsize="21600,21600" o:spt="202" path="m,l,21600r21600,l21600,xe">
          <v:stroke joinstyle="miter"/>
          <v:path gradientshapeok="t" o:connecttype="rect"/>
        </v:shapetype>
        <v:shape id="_x0000_s2050" type="#_x0000_t202" style="width:453.5pt;height:28.3pt;mso-wrap-distance-left:0;mso-wrap-distance-right:0;mso-position-horizontal-relative:char;mso-position-vertical-relative:line" filled="f" stroked="f">
          <v:textbox style="mso-next-textbox:#_x0000_s2050" inset="0,0,0,0">
            <w:txbxContent>
              <w:p w:rsidR="004B6848" w:rsidRDefault="004B6848">
                <w:pPr>
                  <w:spacing w:line="187" w:lineRule="atLeast"/>
                  <w:jc w:val="center"/>
                </w:pPr>
                <w:r>
                  <w:rPr>
                    <w:rFonts w:hint="eastAsia"/>
                  </w:rPr>
                  <w:t>-</w:t>
                </w:r>
                <w:fldSimple w:instr=" PAGE \* Arabic \* MERGEFORMAT ">
                  <w:r w:rsidR="00447E46">
                    <w:rPr>
                      <w:noProof/>
                    </w:rPr>
                    <w:t>8</w:t>
                  </w:r>
                </w:fldSimple>
                <w:r>
                  <w:rPr>
                    <w:rFonts w:hint="eastAsia"/>
                  </w:rPr>
                  <w:t>-</w:t>
                </w:r>
              </w:p>
              <w:p w:rsidR="004B6848" w:rsidRDefault="004B6848">
                <w:pPr>
                  <w:spacing w:line="384" w:lineRule="auto"/>
                </w:pPr>
              </w:p>
            </w:txbxContent>
          </v:textbox>
          <w10:wrap type="non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48" w:rsidRDefault="005B69B3">
    <w:pPr>
      <w:spacing w:line="1" w:lineRule="atLeast"/>
    </w:pPr>
    <w:r>
      <w:pict>
        <v:shapetype id="_x0000_t202" coordsize="21600,21600" o:spt="202" path="m,l,21600r21600,l21600,xe">
          <v:stroke joinstyle="miter"/>
          <v:path gradientshapeok="t" o:connecttype="rect"/>
        </v:shapetype>
        <v:shape id="_x0000_s2049" type="#_x0000_t202" style="width:453.5pt;height:28.3pt;mso-wrap-distance-left:0;mso-wrap-distance-right:0;mso-position-horizontal-relative:char;mso-position-vertical-relative:line" filled="f" stroked="f">
          <v:textbox style="mso-next-textbox:#_x0000_s2049" inset="0,0,0,0">
            <w:txbxContent>
              <w:p w:rsidR="004B6848" w:rsidRDefault="004B6848">
                <w:pPr>
                  <w:spacing w:line="187" w:lineRule="atLeast"/>
                  <w:jc w:val="center"/>
                </w:pPr>
                <w:r>
                  <w:rPr>
                    <w:rFonts w:hint="eastAsia"/>
                  </w:rPr>
                  <w:t>-</w:t>
                </w:r>
                <w:fldSimple w:instr=" PAGE \* Arabic \* MERGEFORMAT ">
                  <w:r w:rsidR="00447E46">
                    <w:rPr>
                      <w:noProof/>
                    </w:rPr>
                    <w:t>9</w:t>
                  </w:r>
                </w:fldSimple>
                <w:r>
                  <w:rPr>
                    <w:rFonts w:hint="eastAsia"/>
                  </w:rPr>
                  <w:t>-</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30" w:rsidRDefault="00136930">
      <w:pPr>
        <w:spacing w:line="240" w:lineRule="auto"/>
      </w:pPr>
      <w:r>
        <w:separator/>
      </w:r>
    </w:p>
  </w:footnote>
  <w:footnote w:type="continuationSeparator" w:id="1">
    <w:p w:rsidR="00136930" w:rsidRDefault="001369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48" w:rsidRDefault="005B69B3">
    <w:pPr>
      <w:spacing w:line="1" w:lineRule="atLeast"/>
    </w:pPr>
    <w:r>
      <w:pict>
        <v:shapetype id="_x0000_t202" coordsize="21600,21600" o:spt="202" path="m,l,21600r21600,l21600,xe">
          <v:stroke joinstyle="miter"/>
          <v:path gradientshapeok="t" o:connecttype="rect"/>
        </v:shapetype>
        <v:shape id="_x0000_s2052" type="#_x0000_t202" style="width:453.5pt;height:34.85pt;mso-wrap-distance-left:0;mso-wrap-distance-right:0;mso-position-horizontal-relative:char;mso-position-vertical-relative:line" filled="f" stroked="f">
          <v:textbox style="mso-next-textbox:#_x0000_s2052" inset="0,0,0,0">
            <w:txbxContent>
              <w:p w:rsidR="004B6848" w:rsidRDefault="004B6848">
                <w:pPr>
                  <w:spacing w:line="187" w:lineRule="atLeast"/>
                </w:pPr>
              </w:p>
              <w:p w:rsidR="004B6848" w:rsidRDefault="004B6848">
                <w:pPr>
                  <w:spacing w:line="384" w:lineRule="auto"/>
                </w:pPr>
              </w:p>
            </w:txbxContent>
          </v:textbox>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48" w:rsidRDefault="005B69B3">
    <w:pPr>
      <w:spacing w:line="1" w:lineRule="atLeast"/>
    </w:pPr>
    <w:r>
      <w:pict>
        <v:shapetype id="_x0000_t202" coordsize="21600,21600" o:spt="202" path="m,l,21600r21600,l21600,xe">
          <v:stroke joinstyle="miter"/>
          <v:path gradientshapeok="t" o:connecttype="rect"/>
        </v:shapetype>
        <v:shape id="_x0000_s2051" type="#_x0000_t202" style="width:453.5pt;height:34.85pt;mso-wrap-distance-left:0;mso-wrap-distance-right:0;mso-position-horizontal-relative:char;mso-position-vertical-relative:line" filled="f" stroked="f">
          <v:textbox style="mso-next-textbox:#_x0000_s2051" inset="0,0,0,0">
            <w:txbxContent>
              <w:p w:rsidR="004B6848" w:rsidRDefault="004B6848">
                <w:pPr>
                  <w:spacing w:line="187" w:lineRule="atLeast"/>
                </w:pPr>
              </w:p>
              <w:p w:rsidR="004B6848" w:rsidRDefault="004B6848">
                <w:pPr>
                  <w:spacing w:line="384" w:lineRule="auto"/>
                </w:pPr>
              </w:p>
            </w:txbxContent>
          </v:textbox>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93186"/>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
  <w:rsids>
    <w:rsidRoot w:val="00172A27"/>
    <w:rsid w:val="000054F1"/>
    <w:rsid w:val="000065AE"/>
    <w:rsid w:val="0001096D"/>
    <w:rsid w:val="00030137"/>
    <w:rsid w:val="00030716"/>
    <w:rsid w:val="00030A09"/>
    <w:rsid w:val="00031300"/>
    <w:rsid w:val="00042CFC"/>
    <w:rsid w:val="000453C7"/>
    <w:rsid w:val="00046E9F"/>
    <w:rsid w:val="00050584"/>
    <w:rsid w:val="00055292"/>
    <w:rsid w:val="0005530A"/>
    <w:rsid w:val="00065C74"/>
    <w:rsid w:val="00067A7A"/>
    <w:rsid w:val="000704DE"/>
    <w:rsid w:val="00075FD4"/>
    <w:rsid w:val="0007631D"/>
    <w:rsid w:val="00092179"/>
    <w:rsid w:val="000933AE"/>
    <w:rsid w:val="000A2BBB"/>
    <w:rsid w:val="000A3698"/>
    <w:rsid w:val="000A6D95"/>
    <w:rsid w:val="000B27D1"/>
    <w:rsid w:val="000B58F4"/>
    <w:rsid w:val="000C46F3"/>
    <w:rsid w:val="000C6069"/>
    <w:rsid w:val="000E6028"/>
    <w:rsid w:val="000F6DD1"/>
    <w:rsid w:val="00101B8A"/>
    <w:rsid w:val="001021A6"/>
    <w:rsid w:val="00102A9B"/>
    <w:rsid w:val="001037C2"/>
    <w:rsid w:val="001039CF"/>
    <w:rsid w:val="00104596"/>
    <w:rsid w:val="0010518E"/>
    <w:rsid w:val="00106DC0"/>
    <w:rsid w:val="00106FDF"/>
    <w:rsid w:val="001118B1"/>
    <w:rsid w:val="001214D5"/>
    <w:rsid w:val="00123385"/>
    <w:rsid w:val="00125F13"/>
    <w:rsid w:val="0013481E"/>
    <w:rsid w:val="001359D3"/>
    <w:rsid w:val="00135E4D"/>
    <w:rsid w:val="00136930"/>
    <w:rsid w:val="001429D9"/>
    <w:rsid w:val="00142A52"/>
    <w:rsid w:val="00143A2E"/>
    <w:rsid w:val="00146320"/>
    <w:rsid w:val="00146F7C"/>
    <w:rsid w:val="0015125D"/>
    <w:rsid w:val="001513F8"/>
    <w:rsid w:val="001577E1"/>
    <w:rsid w:val="001634F4"/>
    <w:rsid w:val="00167542"/>
    <w:rsid w:val="00172A27"/>
    <w:rsid w:val="00174B26"/>
    <w:rsid w:val="001762CE"/>
    <w:rsid w:val="0018184B"/>
    <w:rsid w:val="00183DBC"/>
    <w:rsid w:val="001A44CA"/>
    <w:rsid w:val="001A5407"/>
    <w:rsid w:val="001A569B"/>
    <w:rsid w:val="001A74D1"/>
    <w:rsid w:val="001B0FA8"/>
    <w:rsid w:val="001B23BE"/>
    <w:rsid w:val="001B28F8"/>
    <w:rsid w:val="001B3F0B"/>
    <w:rsid w:val="001B589F"/>
    <w:rsid w:val="001B6A5A"/>
    <w:rsid w:val="001C1F87"/>
    <w:rsid w:val="001C585C"/>
    <w:rsid w:val="001D05E0"/>
    <w:rsid w:val="001D25CE"/>
    <w:rsid w:val="001D2FB2"/>
    <w:rsid w:val="001D7BEA"/>
    <w:rsid w:val="001E011E"/>
    <w:rsid w:val="001E4532"/>
    <w:rsid w:val="001E6FB1"/>
    <w:rsid w:val="001E7101"/>
    <w:rsid w:val="001E7615"/>
    <w:rsid w:val="001F50CF"/>
    <w:rsid w:val="001F701E"/>
    <w:rsid w:val="00200F07"/>
    <w:rsid w:val="00216CB1"/>
    <w:rsid w:val="00220BAF"/>
    <w:rsid w:val="00226B34"/>
    <w:rsid w:val="002274D2"/>
    <w:rsid w:val="00232ED5"/>
    <w:rsid w:val="00236C9B"/>
    <w:rsid w:val="00245A8E"/>
    <w:rsid w:val="00245E60"/>
    <w:rsid w:val="00250287"/>
    <w:rsid w:val="002509CA"/>
    <w:rsid w:val="00252B47"/>
    <w:rsid w:val="00254837"/>
    <w:rsid w:val="0025541D"/>
    <w:rsid w:val="002568BA"/>
    <w:rsid w:val="00262880"/>
    <w:rsid w:val="00271D3E"/>
    <w:rsid w:val="002761AB"/>
    <w:rsid w:val="00276A02"/>
    <w:rsid w:val="002809E3"/>
    <w:rsid w:val="002858DF"/>
    <w:rsid w:val="00292054"/>
    <w:rsid w:val="00292844"/>
    <w:rsid w:val="002A119B"/>
    <w:rsid w:val="002B2EE0"/>
    <w:rsid w:val="002B4747"/>
    <w:rsid w:val="002B67D5"/>
    <w:rsid w:val="002C07E4"/>
    <w:rsid w:val="002C3411"/>
    <w:rsid w:val="002D24F1"/>
    <w:rsid w:val="002D38C3"/>
    <w:rsid w:val="002D73BC"/>
    <w:rsid w:val="002E511A"/>
    <w:rsid w:val="002F0731"/>
    <w:rsid w:val="0030233B"/>
    <w:rsid w:val="0030363E"/>
    <w:rsid w:val="0031246A"/>
    <w:rsid w:val="0031346A"/>
    <w:rsid w:val="00313DFB"/>
    <w:rsid w:val="00314C60"/>
    <w:rsid w:val="00316AF8"/>
    <w:rsid w:val="003306DD"/>
    <w:rsid w:val="00334B09"/>
    <w:rsid w:val="0033732A"/>
    <w:rsid w:val="00337E48"/>
    <w:rsid w:val="0034519A"/>
    <w:rsid w:val="00350668"/>
    <w:rsid w:val="00355D5D"/>
    <w:rsid w:val="0035662E"/>
    <w:rsid w:val="003566FC"/>
    <w:rsid w:val="00357C61"/>
    <w:rsid w:val="00357EB7"/>
    <w:rsid w:val="00362504"/>
    <w:rsid w:val="00371631"/>
    <w:rsid w:val="00372B57"/>
    <w:rsid w:val="0038292E"/>
    <w:rsid w:val="003847D8"/>
    <w:rsid w:val="003864D8"/>
    <w:rsid w:val="003877E0"/>
    <w:rsid w:val="00391258"/>
    <w:rsid w:val="00391D62"/>
    <w:rsid w:val="003947F9"/>
    <w:rsid w:val="00397C53"/>
    <w:rsid w:val="003A010F"/>
    <w:rsid w:val="003A7E15"/>
    <w:rsid w:val="003B0CC1"/>
    <w:rsid w:val="003C49F4"/>
    <w:rsid w:val="003C7860"/>
    <w:rsid w:val="003D070F"/>
    <w:rsid w:val="003D6E10"/>
    <w:rsid w:val="003E5183"/>
    <w:rsid w:val="00401945"/>
    <w:rsid w:val="00404BEC"/>
    <w:rsid w:val="004056A3"/>
    <w:rsid w:val="004058EC"/>
    <w:rsid w:val="00411654"/>
    <w:rsid w:val="00415BC8"/>
    <w:rsid w:val="004204C9"/>
    <w:rsid w:val="0042069A"/>
    <w:rsid w:val="0042168F"/>
    <w:rsid w:val="0042455B"/>
    <w:rsid w:val="00424BC4"/>
    <w:rsid w:val="0042790A"/>
    <w:rsid w:val="0043606E"/>
    <w:rsid w:val="0043629E"/>
    <w:rsid w:val="00436E89"/>
    <w:rsid w:val="00440997"/>
    <w:rsid w:val="00440B1D"/>
    <w:rsid w:val="00440E9A"/>
    <w:rsid w:val="00442629"/>
    <w:rsid w:val="00443098"/>
    <w:rsid w:val="00446708"/>
    <w:rsid w:val="00447E46"/>
    <w:rsid w:val="00451B3C"/>
    <w:rsid w:val="0045587F"/>
    <w:rsid w:val="00467A81"/>
    <w:rsid w:val="00472E2B"/>
    <w:rsid w:val="004769F3"/>
    <w:rsid w:val="00480012"/>
    <w:rsid w:val="0048183A"/>
    <w:rsid w:val="0048194F"/>
    <w:rsid w:val="004870EE"/>
    <w:rsid w:val="00487EBD"/>
    <w:rsid w:val="00495AB3"/>
    <w:rsid w:val="00495F26"/>
    <w:rsid w:val="004A2454"/>
    <w:rsid w:val="004A4D6D"/>
    <w:rsid w:val="004B144F"/>
    <w:rsid w:val="004B1FC5"/>
    <w:rsid w:val="004B6848"/>
    <w:rsid w:val="004C1752"/>
    <w:rsid w:val="004C1ABA"/>
    <w:rsid w:val="004C38C5"/>
    <w:rsid w:val="004C7722"/>
    <w:rsid w:val="004D0A89"/>
    <w:rsid w:val="004D0F2A"/>
    <w:rsid w:val="004D3B3D"/>
    <w:rsid w:val="004D7060"/>
    <w:rsid w:val="004E1A47"/>
    <w:rsid w:val="004F027A"/>
    <w:rsid w:val="004F5CC5"/>
    <w:rsid w:val="004F67E8"/>
    <w:rsid w:val="004F7347"/>
    <w:rsid w:val="005010BB"/>
    <w:rsid w:val="00505138"/>
    <w:rsid w:val="005068D4"/>
    <w:rsid w:val="0051212B"/>
    <w:rsid w:val="00515082"/>
    <w:rsid w:val="00517884"/>
    <w:rsid w:val="00522E75"/>
    <w:rsid w:val="005246F8"/>
    <w:rsid w:val="00531AFC"/>
    <w:rsid w:val="005328A7"/>
    <w:rsid w:val="00533D48"/>
    <w:rsid w:val="00535F98"/>
    <w:rsid w:val="00537DCC"/>
    <w:rsid w:val="00543489"/>
    <w:rsid w:val="00544259"/>
    <w:rsid w:val="0054441B"/>
    <w:rsid w:val="0054539F"/>
    <w:rsid w:val="00552805"/>
    <w:rsid w:val="00554432"/>
    <w:rsid w:val="0056282F"/>
    <w:rsid w:val="00567D96"/>
    <w:rsid w:val="00572EF5"/>
    <w:rsid w:val="0057445F"/>
    <w:rsid w:val="005745C9"/>
    <w:rsid w:val="00574BF6"/>
    <w:rsid w:val="00582165"/>
    <w:rsid w:val="00590F4F"/>
    <w:rsid w:val="00591432"/>
    <w:rsid w:val="00592528"/>
    <w:rsid w:val="00592C4C"/>
    <w:rsid w:val="005942BD"/>
    <w:rsid w:val="00596C88"/>
    <w:rsid w:val="00597684"/>
    <w:rsid w:val="00597B85"/>
    <w:rsid w:val="005A6DC5"/>
    <w:rsid w:val="005B3E42"/>
    <w:rsid w:val="005B69B3"/>
    <w:rsid w:val="005B796D"/>
    <w:rsid w:val="005D0A0C"/>
    <w:rsid w:val="005D1D94"/>
    <w:rsid w:val="005D46CA"/>
    <w:rsid w:val="005D4C15"/>
    <w:rsid w:val="005D5F47"/>
    <w:rsid w:val="005D6AEA"/>
    <w:rsid w:val="005E4338"/>
    <w:rsid w:val="005E4B61"/>
    <w:rsid w:val="005F0FE3"/>
    <w:rsid w:val="005F53BD"/>
    <w:rsid w:val="00601DDD"/>
    <w:rsid w:val="0060650C"/>
    <w:rsid w:val="00612DFA"/>
    <w:rsid w:val="00612EAA"/>
    <w:rsid w:val="00613C63"/>
    <w:rsid w:val="00613E78"/>
    <w:rsid w:val="00616457"/>
    <w:rsid w:val="00621B88"/>
    <w:rsid w:val="00623E29"/>
    <w:rsid w:val="00625600"/>
    <w:rsid w:val="00626820"/>
    <w:rsid w:val="00633C22"/>
    <w:rsid w:val="0063770E"/>
    <w:rsid w:val="00637C30"/>
    <w:rsid w:val="00641475"/>
    <w:rsid w:val="00641B33"/>
    <w:rsid w:val="00642AD6"/>
    <w:rsid w:val="00645E6A"/>
    <w:rsid w:val="00664814"/>
    <w:rsid w:val="006735B1"/>
    <w:rsid w:val="0067658D"/>
    <w:rsid w:val="00682701"/>
    <w:rsid w:val="006838CB"/>
    <w:rsid w:val="006851E2"/>
    <w:rsid w:val="00687016"/>
    <w:rsid w:val="00690875"/>
    <w:rsid w:val="00690FF6"/>
    <w:rsid w:val="0069317E"/>
    <w:rsid w:val="006A07AF"/>
    <w:rsid w:val="006A1D08"/>
    <w:rsid w:val="006B43EB"/>
    <w:rsid w:val="006B5509"/>
    <w:rsid w:val="006B6750"/>
    <w:rsid w:val="006C30E5"/>
    <w:rsid w:val="006C7AB8"/>
    <w:rsid w:val="006D3726"/>
    <w:rsid w:val="006D7936"/>
    <w:rsid w:val="006E1ED3"/>
    <w:rsid w:val="006E7860"/>
    <w:rsid w:val="006F09DD"/>
    <w:rsid w:val="006F3A43"/>
    <w:rsid w:val="006F495C"/>
    <w:rsid w:val="006F66DD"/>
    <w:rsid w:val="006F7DEB"/>
    <w:rsid w:val="00700FA9"/>
    <w:rsid w:val="007011DA"/>
    <w:rsid w:val="00701BF6"/>
    <w:rsid w:val="0070217C"/>
    <w:rsid w:val="0070479A"/>
    <w:rsid w:val="00707444"/>
    <w:rsid w:val="007145BF"/>
    <w:rsid w:val="00714F87"/>
    <w:rsid w:val="00715108"/>
    <w:rsid w:val="00715CBA"/>
    <w:rsid w:val="00717191"/>
    <w:rsid w:val="00723403"/>
    <w:rsid w:val="00725590"/>
    <w:rsid w:val="00733ECA"/>
    <w:rsid w:val="007353C9"/>
    <w:rsid w:val="007369E4"/>
    <w:rsid w:val="007463CF"/>
    <w:rsid w:val="00747193"/>
    <w:rsid w:val="007520E5"/>
    <w:rsid w:val="0076647B"/>
    <w:rsid w:val="00770763"/>
    <w:rsid w:val="00770C49"/>
    <w:rsid w:val="007736C3"/>
    <w:rsid w:val="00774B52"/>
    <w:rsid w:val="00776415"/>
    <w:rsid w:val="007861E8"/>
    <w:rsid w:val="007903EA"/>
    <w:rsid w:val="00791F28"/>
    <w:rsid w:val="00794550"/>
    <w:rsid w:val="00794576"/>
    <w:rsid w:val="00796618"/>
    <w:rsid w:val="007966EE"/>
    <w:rsid w:val="00796D84"/>
    <w:rsid w:val="00797881"/>
    <w:rsid w:val="00797F61"/>
    <w:rsid w:val="007A0321"/>
    <w:rsid w:val="007A051F"/>
    <w:rsid w:val="007A3B5C"/>
    <w:rsid w:val="007B17AD"/>
    <w:rsid w:val="007B657B"/>
    <w:rsid w:val="007B6899"/>
    <w:rsid w:val="007B6973"/>
    <w:rsid w:val="007D39D2"/>
    <w:rsid w:val="007D4F2D"/>
    <w:rsid w:val="007E0745"/>
    <w:rsid w:val="007E1023"/>
    <w:rsid w:val="007E3580"/>
    <w:rsid w:val="007F35AD"/>
    <w:rsid w:val="00802C41"/>
    <w:rsid w:val="00810F3A"/>
    <w:rsid w:val="0081135D"/>
    <w:rsid w:val="0081171F"/>
    <w:rsid w:val="0081297A"/>
    <w:rsid w:val="00814F33"/>
    <w:rsid w:val="00825290"/>
    <w:rsid w:val="00830F21"/>
    <w:rsid w:val="00832E49"/>
    <w:rsid w:val="00833AC8"/>
    <w:rsid w:val="00834694"/>
    <w:rsid w:val="008349D1"/>
    <w:rsid w:val="00834E3C"/>
    <w:rsid w:val="00836ECE"/>
    <w:rsid w:val="008403EB"/>
    <w:rsid w:val="0084089C"/>
    <w:rsid w:val="00842CAB"/>
    <w:rsid w:val="00851635"/>
    <w:rsid w:val="00852469"/>
    <w:rsid w:val="00854880"/>
    <w:rsid w:val="00855EB9"/>
    <w:rsid w:val="008608AE"/>
    <w:rsid w:val="008612F0"/>
    <w:rsid w:val="0087051E"/>
    <w:rsid w:val="00882522"/>
    <w:rsid w:val="00883FDC"/>
    <w:rsid w:val="00886C74"/>
    <w:rsid w:val="00887CDC"/>
    <w:rsid w:val="00891347"/>
    <w:rsid w:val="008932FB"/>
    <w:rsid w:val="00893826"/>
    <w:rsid w:val="008A0344"/>
    <w:rsid w:val="008A278E"/>
    <w:rsid w:val="008A3C11"/>
    <w:rsid w:val="008A5774"/>
    <w:rsid w:val="008A6C00"/>
    <w:rsid w:val="008B32A6"/>
    <w:rsid w:val="008B3DFE"/>
    <w:rsid w:val="008C108C"/>
    <w:rsid w:val="008C186E"/>
    <w:rsid w:val="008C2910"/>
    <w:rsid w:val="008D73F1"/>
    <w:rsid w:val="008E451C"/>
    <w:rsid w:val="008F0A56"/>
    <w:rsid w:val="008F1B1E"/>
    <w:rsid w:val="008F7C2B"/>
    <w:rsid w:val="0090337A"/>
    <w:rsid w:val="00907EE9"/>
    <w:rsid w:val="009130F6"/>
    <w:rsid w:val="00913ACA"/>
    <w:rsid w:val="00915086"/>
    <w:rsid w:val="0091753F"/>
    <w:rsid w:val="009234AA"/>
    <w:rsid w:val="00923505"/>
    <w:rsid w:val="009249F6"/>
    <w:rsid w:val="00926D67"/>
    <w:rsid w:val="00927E09"/>
    <w:rsid w:val="00930347"/>
    <w:rsid w:val="00931D85"/>
    <w:rsid w:val="00935032"/>
    <w:rsid w:val="009354AE"/>
    <w:rsid w:val="0094192C"/>
    <w:rsid w:val="00944D9D"/>
    <w:rsid w:val="00945A3B"/>
    <w:rsid w:val="00963287"/>
    <w:rsid w:val="00964808"/>
    <w:rsid w:val="00965202"/>
    <w:rsid w:val="00965BD2"/>
    <w:rsid w:val="00975388"/>
    <w:rsid w:val="009810B8"/>
    <w:rsid w:val="00991019"/>
    <w:rsid w:val="009916CB"/>
    <w:rsid w:val="00991937"/>
    <w:rsid w:val="00992B9F"/>
    <w:rsid w:val="009A07A8"/>
    <w:rsid w:val="009A2796"/>
    <w:rsid w:val="009A28CC"/>
    <w:rsid w:val="009A2E69"/>
    <w:rsid w:val="009A5577"/>
    <w:rsid w:val="009B0F4D"/>
    <w:rsid w:val="009C105F"/>
    <w:rsid w:val="009C5D19"/>
    <w:rsid w:val="009C5FCD"/>
    <w:rsid w:val="009D078E"/>
    <w:rsid w:val="009D3639"/>
    <w:rsid w:val="009D3E3F"/>
    <w:rsid w:val="009D797E"/>
    <w:rsid w:val="009E0744"/>
    <w:rsid w:val="009E626F"/>
    <w:rsid w:val="009E72B8"/>
    <w:rsid w:val="009F0473"/>
    <w:rsid w:val="009F571E"/>
    <w:rsid w:val="009F732D"/>
    <w:rsid w:val="00A04AA3"/>
    <w:rsid w:val="00A15502"/>
    <w:rsid w:val="00A1688A"/>
    <w:rsid w:val="00A16D22"/>
    <w:rsid w:val="00A20374"/>
    <w:rsid w:val="00A21370"/>
    <w:rsid w:val="00A22BD2"/>
    <w:rsid w:val="00A24C5C"/>
    <w:rsid w:val="00A24E4F"/>
    <w:rsid w:val="00A267F1"/>
    <w:rsid w:val="00A27617"/>
    <w:rsid w:val="00A30373"/>
    <w:rsid w:val="00A30C7A"/>
    <w:rsid w:val="00A36504"/>
    <w:rsid w:val="00A402FE"/>
    <w:rsid w:val="00A41169"/>
    <w:rsid w:val="00A54E05"/>
    <w:rsid w:val="00A66326"/>
    <w:rsid w:val="00A7269D"/>
    <w:rsid w:val="00A769F1"/>
    <w:rsid w:val="00A81057"/>
    <w:rsid w:val="00A87EF5"/>
    <w:rsid w:val="00A90E4C"/>
    <w:rsid w:val="00A92290"/>
    <w:rsid w:val="00A94BF6"/>
    <w:rsid w:val="00AA1228"/>
    <w:rsid w:val="00AA42DB"/>
    <w:rsid w:val="00AA7B70"/>
    <w:rsid w:val="00AB6C1E"/>
    <w:rsid w:val="00AC10C5"/>
    <w:rsid w:val="00AC1CC5"/>
    <w:rsid w:val="00AC3E6C"/>
    <w:rsid w:val="00AC5C95"/>
    <w:rsid w:val="00AC5F9A"/>
    <w:rsid w:val="00AD209B"/>
    <w:rsid w:val="00AD5DC9"/>
    <w:rsid w:val="00AD6832"/>
    <w:rsid w:val="00AE255D"/>
    <w:rsid w:val="00AF4428"/>
    <w:rsid w:val="00AF563E"/>
    <w:rsid w:val="00AF64F3"/>
    <w:rsid w:val="00AF7223"/>
    <w:rsid w:val="00B01666"/>
    <w:rsid w:val="00B0601A"/>
    <w:rsid w:val="00B11BD8"/>
    <w:rsid w:val="00B144E4"/>
    <w:rsid w:val="00B17043"/>
    <w:rsid w:val="00B229F1"/>
    <w:rsid w:val="00B23669"/>
    <w:rsid w:val="00B24B9D"/>
    <w:rsid w:val="00B26DDE"/>
    <w:rsid w:val="00B31348"/>
    <w:rsid w:val="00B31614"/>
    <w:rsid w:val="00B40C1C"/>
    <w:rsid w:val="00B43806"/>
    <w:rsid w:val="00B472F0"/>
    <w:rsid w:val="00B513B8"/>
    <w:rsid w:val="00B528D5"/>
    <w:rsid w:val="00B63A0C"/>
    <w:rsid w:val="00B651C1"/>
    <w:rsid w:val="00B67975"/>
    <w:rsid w:val="00B718B2"/>
    <w:rsid w:val="00B758FC"/>
    <w:rsid w:val="00B83951"/>
    <w:rsid w:val="00B951B5"/>
    <w:rsid w:val="00B95572"/>
    <w:rsid w:val="00BA4A4A"/>
    <w:rsid w:val="00BB448B"/>
    <w:rsid w:val="00BC3BAC"/>
    <w:rsid w:val="00BD70D1"/>
    <w:rsid w:val="00BD7ABC"/>
    <w:rsid w:val="00BE5185"/>
    <w:rsid w:val="00BE5BEA"/>
    <w:rsid w:val="00BE676E"/>
    <w:rsid w:val="00BF1E93"/>
    <w:rsid w:val="00C030A7"/>
    <w:rsid w:val="00C03F0D"/>
    <w:rsid w:val="00C06AB8"/>
    <w:rsid w:val="00C07CBB"/>
    <w:rsid w:val="00C1352B"/>
    <w:rsid w:val="00C15617"/>
    <w:rsid w:val="00C20F00"/>
    <w:rsid w:val="00C22C5E"/>
    <w:rsid w:val="00C2470D"/>
    <w:rsid w:val="00C31B0E"/>
    <w:rsid w:val="00C40B2A"/>
    <w:rsid w:val="00C44BCE"/>
    <w:rsid w:val="00C53B44"/>
    <w:rsid w:val="00C57324"/>
    <w:rsid w:val="00C6126B"/>
    <w:rsid w:val="00C618EB"/>
    <w:rsid w:val="00C724A3"/>
    <w:rsid w:val="00C777A7"/>
    <w:rsid w:val="00C80A59"/>
    <w:rsid w:val="00C82938"/>
    <w:rsid w:val="00C93BF3"/>
    <w:rsid w:val="00CA1944"/>
    <w:rsid w:val="00CA2968"/>
    <w:rsid w:val="00CA2CD1"/>
    <w:rsid w:val="00CA6195"/>
    <w:rsid w:val="00CA734A"/>
    <w:rsid w:val="00CB595D"/>
    <w:rsid w:val="00CB65C3"/>
    <w:rsid w:val="00CC00BF"/>
    <w:rsid w:val="00CC026E"/>
    <w:rsid w:val="00CC20F8"/>
    <w:rsid w:val="00CC43AB"/>
    <w:rsid w:val="00CC49B7"/>
    <w:rsid w:val="00CC5E07"/>
    <w:rsid w:val="00CC6BED"/>
    <w:rsid w:val="00CD08DD"/>
    <w:rsid w:val="00CD24B3"/>
    <w:rsid w:val="00CD4B86"/>
    <w:rsid w:val="00CD4B8B"/>
    <w:rsid w:val="00CD7042"/>
    <w:rsid w:val="00CE0BC7"/>
    <w:rsid w:val="00CE6622"/>
    <w:rsid w:val="00CE76FE"/>
    <w:rsid w:val="00CF73E6"/>
    <w:rsid w:val="00D0531F"/>
    <w:rsid w:val="00D07873"/>
    <w:rsid w:val="00D23F97"/>
    <w:rsid w:val="00D27991"/>
    <w:rsid w:val="00D3406D"/>
    <w:rsid w:val="00D3572C"/>
    <w:rsid w:val="00D359C2"/>
    <w:rsid w:val="00D369E4"/>
    <w:rsid w:val="00D44050"/>
    <w:rsid w:val="00D444B4"/>
    <w:rsid w:val="00D445BB"/>
    <w:rsid w:val="00D50018"/>
    <w:rsid w:val="00D512EE"/>
    <w:rsid w:val="00D639A0"/>
    <w:rsid w:val="00D66346"/>
    <w:rsid w:val="00D76310"/>
    <w:rsid w:val="00D816B7"/>
    <w:rsid w:val="00D90F06"/>
    <w:rsid w:val="00DA5873"/>
    <w:rsid w:val="00DB14FF"/>
    <w:rsid w:val="00DC1A8F"/>
    <w:rsid w:val="00DC1AFC"/>
    <w:rsid w:val="00DC4ADA"/>
    <w:rsid w:val="00DC5DEF"/>
    <w:rsid w:val="00DD1BAC"/>
    <w:rsid w:val="00DD27F2"/>
    <w:rsid w:val="00DD4506"/>
    <w:rsid w:val="00DE0F14"/>
    <w:rsid w:val="00DE15E0"/>
    <w:rsid w:val="00DE19FC"/>
    <w:rsid w:val="00DF20DC"/>
    <w:rsid w:val="00DF382A"/>
    <w:rsid w:val="00E11655"/>
    <w:rsid w:val="00E12D15"/>
    <w:rsid w:val="00E14F13"/>
    <w:rsid w:val="00E162CC"/>
    <w:rsid w:val="00E16C7D"/>
    <w:rsid w:val="00E24F48"/>
    <w:rsid w:val="00E26B9B"/>
    <w:rsid w:val="00E27435"/>
    <w:rsid w:val="00E51EA9"/>
    <w:rsid w:val="00E51FCD"/>
    <w:rsid w:val="00E5346A"/>
    <w:rsid w:val="00E60978"/>
    <w:rsid w:val="00E64D20"/>
    <w:rsid w:val="00E654FC"/>
    <w:rsid w:val="00E67CA9"/>
    <w:rsid w:val="00E80105"/>
    <w:rsid w:val="00E83FFB"/>
    <w:rsid w:val="00E84FA0"/>
    <w:rsid w:val="00E85669"/>
    <w:rsid w:val="00E86414"/>
    <w:rsid w:val="00E92542"/>
    <w:rsid w:val="00E95C24"/>
    <w:rsid w:val="00E972F4"/>
    <w:rsid w:val="00EA235C"/>
    <w:rsid w:val="00EA4C5D"/>
    <w:rsid w:val="00EA57EA"/>
    <w:rsid w:val="00EB0DA3"/>
    <w:rsid w:val="00EB300B"/>
    <w:rsid w:val="00EB348C"/>
    <w:rsid w:val="00EB6B14"/>
    <w:rsid w:val="00EB72B4"/>
    <w:rsid w:val="00ED0629"/>
    <w:rsid w:val="00ED18BA"/>
    <w:rsid w:val="00ED2FA0"/>
    <w:rsid w:val="00ED48E5"/>
    <w:rsid w:val="00ED5872"/>
    <w:rsid w:val="00ED59C7"/>
    <w:rsid w:val="00ED5EFD"/>
    <w:rsid w:val="00EE09AE"/>
    <w:rsid w:val="00EE3A91"/>
    <w:rsid w:val="00EE5BED"/>
    <w:rsid w:val="00EE76D2"/>
    <w:rsid w:val="00EF23B8"/>
    <w:rsid w:val="00EF5C8C"/>
    <w:rsid w:val="00F0056F"/>
    <w:rsid w:val="00F03953"/>
    <w:rsid w:val="00F05547"/>
    <w:rsid w:val="00F05D9E"/>
    <w:rsid w:val="00F07408"/>
    <w:rsid w:val="00F10B9D"/>
    <w:rsid w:val="00F118E7"/>
    <w:rsid w:val="00F207BB"/>
    <w:rsid w:val="00F264E3"/>
    <w:rsid w:val="00F27379"/>
    <w:rsid w:val="00F31DF1"/>
    <w:rsid w:val="00F4243C"/>
    <w:rsid w:val="00F562B1"/>
    <w:rsid w:val="00F57D2E"/>
    <w:rsid w:val="00F60309"/>
    <w:rsid w:val="00F612E2"/>
    <w:rsid w:val="00F703A9"/>
    <w:rsid w:val="00F70545"/>
    <w:rsid w:val="00F84F4B"/>
    <w:rsid w:val="00F965B8"/>
    <w:rsid w:val="00FA16BC"/>
    <w:rsid w:val="00FA3E3F"/>
    <w:rsid w:val="00FA4CD1"/>
    <w:rsid w:val="00FA6A26"/>
    <w:rsid w:val="00FA777B"/>
    <w:rsid w:val="00FB2EAA"/>
    <w:rsid w:val="00FB5AD6"/>
    <w:rsid w:val="00FC1C2F"/>
    <w:rsid w:val="00FC292A"/>
    <w:rsid w:val="00FC3273"/>
    <w:rsid w:val="00FC79EA"/>
    <w:rsid w:val="00FD1DF6"/>
    <w:rsid w:val="00FD3E0D"/>
    <w:rsid w:val="00FD46DF"/>
    <w:rsid w:val="00FD5613"/>
    <w:rsid w:val="00FE6575"/>
    <w:rsid w:val="00FF1362"/>
    <w:rsid w:val="00FF5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B2"/>
    <w:pPr>
      <w:widowControl w:val="0"/>
      <w:spacing w:line="550" w:lineRule="auto"/>
      <w:ind w:left="1"/>
      <w:jc w:val="both"/>
      <w:textAlignment w:val="bottom"/>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码 Char"/>
    <w:basedOn w:val="Char0"/>
    <w:rsid w:val="00B718B2"/>
  </w:style>
  <w:style w:type="character" w:customStyle="1" w:styleId="a3">
    <w:name w:val="链接"/>
    <w:basedOn w:val="a0"/>
    <w:rsid w:val="00B718B2"/>
    <w:rPr>
      <w:color w:val="0000FF"/>
      <w:u w:val="single" w:color="0000FF"/>
    </w:rPr>
  </w:style>
  <w:style w:type="character" w:customStyle="1" w:styleId="Char0">
    <w:name w:val="默认段落字体 Char"/>
    <w:rsid w:val="00B718B2"/>
    <w:rPr>
      <w:rFonts w:ascii="Times New Roman" w:eastAsia="宋体" w:hAnsi="Times New Roman"/>
      <w:b w:val="0"/>
      <w:i w:val="0"/>
      <w:strike w:val="0"/>
      <w:color w:val="000000"/>
      <w:spacing w:val="0"/>
      <w:w w:val="100"/>
      <w:sz w:val="21"/>
      <w:vertAlign w:val="baseline"/>
    </w:rPr>
  </w:style>
  <w:style w:type="paragraph" w:customStyle="1" w:styleId="3CharChar">
    <w:name w:val="标题 3 Char Char"/>
    <w:basedOn w:val="a"/>
    <w:next w:val="a"/>
    <w:rsid w:val="00B718B2"/>
    <w:rPr>
      <w:rFonts w:eastAsia="黑体"/>
    </w:rPr>
  </w:style>
  <w:style w:type="paragraph" w:customStyle="1" w:styleId="1CharChar">
    <w:name w:val="目录 1 Char Char"/>
    <w:basedOn w:val="a"/>
    <w:next w:val="a"/>
    <w:rsid w:val="00B718B2"/>
    <w:pPr>
      <w:spacing w:line="218" w:lineRule="atLeast"/>
      <w:jc w:val="left"/>
    </w:pPr>
  </w:style>
  <w:style w:type="paragraph" w:customStyle="1" w:styleId="2CharChar">
    <w:name w:val="目录 2 Char Char"/>
    <w:basedOn w:val="a"/>
    <w:next w:val="a"/>
    <w:rsid w:val="00B718B2"/>
    <w:pPr>
      <w:spacing w:line="461" w:lineRule="auto"/>
      <w:ind w:left="420"/>
    </w:pPr>
  </w:style>
  <w:style w:type="paragraph" w:customStyle="1" w:styleId="a4">
    <w:name w:val="目录标题"/>
    <w:basedOn w:val="a"/>
    <w:next w:val="a"/>
    <w:rsid w:val="00B718B2"/>
    <w:pPr>
      <w:spacing w:line="218" w:lineRule="atLeast"/>
      <w:jc w:val="center"/>
    </w:pPr>
    <w:rPr>
      <w:rFonts w:ascii="Arial" w:eastAsia="黑体" w:hAnsi="Arial"/>
      <w:spacing w:val="51"/>
      <w:sz w:val="44"/>
    </w:rPr>
  </w:style>
  <w:style w:type="paragraph" w:customStyle="1" w:styleId="CharChar">
    <w:name w:val="标题 Char Char"/>
    <w:basedOn w:val="a"/>
    <w:rsid w:val="00B718B2"/>
    <w:pPr>
      <w:spacing w:line="218" w:lineRule="atLeast"/>
      <w:jc w:val="center"/>
    </w:pPr>
    <w:rPr>
      <w:rFonts w:ascii="Arial" w:eastAsia="黑体" w:hAnsi="Arial"/>
      <w:sz w:val="52"/>
    </w:rPr>
  </w:style>
  <w:style w:type="paragraph" w:customStyle="1" w:styleId="CharChar0">
    <w:name w:val="页脚 Char Char"/>
    <w:basedOn w:val="a"/>
    <w:rsid w:val="00B718B2"/>
    <w:pPr>
      <w:jc w:val="left"/>
    </w:pPr>
    <w:rPr>
      <w:sz w:val="18"/>
    </w:rPr>
  </w:style>
  <w:style w:type="paragraph" w:customStyle="1" w:styleId="WPSPlain">
    <w:name w:val="WPS Plain"/>
    <w:rsid w:val="00B718B2"/>
  </w:style>
  <w:style w:type="paragraph" w:customStyle="1" w:styleId="3CharChar0">
    <w:name w:val="目录 3 Char Char"/>
    <w:basedOn w:val="a"/>
    <w:next w:val="a"/>
    <w:rsid w:val="00B718B2"/>
    <w:pPr>
      <w:spacing w:line="461" w:lineRule="auto"/>
      <w:ind w:left="420"/>
    </w:pPr>
  </w:style>
  <w:style w:type="paragraph" w:customStyle="1" w:styleId="CharChar1">
    <w:name w:val="日期 Char Char"/>
    <w:basedOn w:val="a"/>
    <w:next w:val="a"/>
    <w:rsid w:val="00B718B2"/>
    <w:rPr>
      <w:sz w:val="30"/>
    </w:rPr>
  </w:style>
  <w:style w:type="paragraph" w:customStyle="1" w:styleId="CharChar2">
    <w:name w:val="页眉 Char Char"/>
    <w:basedOn w:val="a"/>
    <w:rsid w:val="00B718B2"/>
    <w:pPr>
      <w:jc w:val="center"/>
    </w:pPr>
    <w:rPr>
      <w:sz w:val="18"/>
    </w:rPr>
  </w:style>
  <w:style w:type="paragraph" w:customStyle="1" w:styleId="a5">
    <w:name w:val="文章副标题"/>
    <w:basedOn w:val="a"/>
    <w:rsid w:val="00B718B2"/>
    <w:pPr>
      <w:spacing w:line="218" w:lineRule="atLeast"/>
      <w:jc w:val="center"/>
    </w:pPr>
    <w:rPr>
      <w:sz w:val="36"/>
    </w:rPr>
  </w:style>
  <w:style w:type="paragraph" w:customStyle="1" w:styleId="1CharChar0">
    <w:name w:val="标题 1 Char Char"/>
    <w:basedOn w:val="a"/>
    <w:rsid w:val="00B718B2"/>
    <w:pPr>
      <w:spacing w:line="218" w:lineRule="atLeast"/>
      <w:jc w:val="center"/>
    </w:pPr>
    <w:rPr>
      <w:rFonts w:ascii="Arial" w:eastAsia="黑体" w:hAnsi="Arial"/>
      <w:sz w:val="32"/>
    </w:rPr>
  </w:style>
  <w:style w:type="paragraph" w:customStyle="1" w:styleId="4CharChar">
    <w:name w:val="目录 4 Char Char"/>
    <w:basedOn w:val="a"/>
    <w:next w:val="a"/>
    <w:rsid w:val="00B718B2"/>
    <w:pPr>
      <w:spacing w:line="461" w:lineRule="auto"/>
      <w:ind w:left="420" w:firstLine="630"/>
    </w:pPr>
  </w:style>
  <w:style w:type="paragraph" w:customStyle="1" w:styleId="2CharChar0">
    <w:name w:val="标题 2 Char Char"/>
    <w:basedOn w:val="a"/>
    <w:rsid w:val="00B718B2"/>
    <w:pPr>
      <w:spacing w:line="218" w:lineRule="atLeast"/>
      <w:jc w:val="center"/>
    </w:pPr>
    <w:rPr>
      <w:sz w:val="28"/>
    </w:rPr>
  </w:style>
  <w:style w:type="paragraph" w:styleId="a6">
    <w:name w:val="header"/>
    <w:basedOn w:val="a"/>
    <w:link w:val="Char1"/>
    <w:uiPriority w:val="99"/>
    <w:semiHidden/>
    <w:unhideWhenUsed/>
    <w:rsid w:val="006B43E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semiHidden/>
    <w:rsid w:val="006B43EB"/>
    <w:rPr>
      <w:color w:val="000000"/>
      <w:sz w:val="18"/>
      <w:szCs w:val="18"/>
    </w:rPr>
  </w:style>
  <w:style w:type="paragraph" w:styleId="a7">
    <w:name w:val="footer"/>
    <w:basedOn w:val="a"/>
    <w:link w:val="Char2"/>
    <w:unhideWhenUsed/>
    <w:rsid w:val="006B43EB"/>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semiHidden/>
    <w:rsid w:val="006B43EB"/>
    <w:rPr>
      <w:color w:val="000000"/>
      <w:sz w:val="18"/>
      <w:szCs w:val="18"/>
    </w:rPr>
  </w:style>
  <w:style w:type="paragraph" w:styleId="a8">
    <w:name w:val="Normal (Web)"/>
    <w:basedOn w:val="a"/>
    <w:uiPriority w:val="99"/>
    <w:semiHidden/>
    <w:unhideWhenUsed/>
    <w:rsid w:val="007A051F"/>
    <w:pPr>
      <w:widowControl/>
      <w:spacing w:before="100" w:beforeAutospacing="1" w:after="100" w:afterAutospacing="1" w:line="288" w:lineRule="atLeast"/>
      <w:ind w:left="0"/>
      <w:jc w:val="left"/>
      <w:textAlignment w:val="auto"/>
    </w:pPr>
    <w:rPr>
      <w:rFonts w:ascii="宋体" w:hAnsi="宋体" w:cs="宋体"/>
      <w:color w:val="auto"/>
      <w:sz w:val="24"/>
      <w:szCs w:val="24"/>
    </w:rPr>
  </w:style>
  <w:style w:type="character" w:styleId="a9">
    <w:name w:val="page number"/>
    <w:basedOn w:val="a0"/>
    <w:rsid w:val="004D3B3D"/>
  </w:style>
  <w:style w:type="paragraph" w:styleId="aa">
    <w:name w:val="Balloon Text"/>
    <w:basedOn w:val="a"/>
    <w:link w:val="Char3"/>
    <w:uiPriority w:val="99"/>
    <w:semiHidden/>
    <w:unhideWhenUsed/>
    <w:rsid w:val="00915086"/>
    <w:pPr>
      <w:spacing w:line="240" w:lineRule="auto"/>
    </w:pPr>
    <w:rPr>
      <w:sz w:val="18"/>
      <w:szCs w:val="18"/>
    </w:rPr>
  </w:style>
  <w:style w:type="character" w:customStyle="1" w:styleId="Char3">
    <w:name w:val="批注框文本 Char"/>
    <w:basedOn w:val="a0"/>
    <w:link w:val="aa"/>
    <w:uiPriority w:val="99"/>
    <w:semiHidden/>
    <w:rsid w:val="00915086"/>
    <w:rPr>
      <w:color w:val="000000"/>
      <w:sz w:val="18"/>
      <w:szCs w:val="18"/>
    </w:rPr>
  </w:style>
  <w:style w:type="table" w:styleId="ab">
    <w:name w:val="Table Grid"/>
    <w:basedOn w:val="a1"/>
    <w:uiPriority w:val="59"/>
    <w:rsid w:val="00CE66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Intense Emphasis"/>
    <w:basedOn w:val="a0"/>
    <w:uiPriority w:val="21"/>
    <w:qFormat/>
    <w:rsid w:val="009D078E"/>
    <w:rPr>
      <w:b/>
      <w:bCs/>
      <w:i/>
      <w:iCs/>
      <w:color w:val="4F81BD" w:themeColor="accent1"/>
    </w:rPr>
  </w:style>
  <w:style w:type="paragraph" w:customStyle="1" w:styleId="0">
    <w:name w:val="0"/>
    <w:basedOn w:val="a"/>
    <w:rsid w:val="00DF382A"/>
    <w:pPr>
      <w:widowControl/>
      <w:spacing w:line="240" w:lineRule="auto"/>
      <w:ind w:left="0"/>
      <w:jc w:val="left"/>
      <w:textAlignment w:val="auto"/>
    </w:pPr>
    <w:rPr>
      <w:color w:val="auto"/>
      <w:sz w:val="20"/>
    </w:rPr>
  </w:style>
</w:styles>
</file>

<file path=word/webSettings.xml><?xml version="1.0" encoding="utf-8"?>
<w:webSettings xmlns:r="http://schemas.openxmlformats.org/officeDocument/2006/relationships" xmlns:w="http://schemas.openxmlformats.org/wordprocessingml/2006/main">
  <w:divs>
    <w:div w:id="18050693">
      <w:bodyDiv w:val="1"/>
      <w:marLeft w:val="0"/>
      <w:marRight w:val="0"/>
      <w:marTop w:val="0"/>
      <w:marBottom w:val="0"/>
      <w:divBdr>
        <w:top w:val="none" w:sz="0" w:space="0" w:color="auto"/>
        <w:left w:val="none" w:sz="0" w:space="0" w:color="auto"/>
        <w:bottom w:val="none" w:sz="0" w:space="0" w:color="auto"/>
        <w:right w:val="none" w:sz="0" w:space="0" w:color="auto"/>
      </w:divBdr>
    </w:div>
    <w:div w:id="251815469">
      <w:bodyDiv w:val="1"/>
      <w:marLeft w:val="0"/>
      <w:marRight w:val="0"/>
      <w:marTop w:val="0"/>
      <w:marBottom w:val="0"/>
      <w:divBdr>
        <w:top w:val="none" w:sz="0" w:space="0" w:color="auto"/>
        <w:left w:val="none" w:sz="0" w:space="0" w:color="auto"/>
        <w:bottom w:val="none" w:sz="0" w:space="0" w:color="auto"/>
        <w:right w:val="none" w:sz="0" w:space="0" w:color="auto"/>
      </w:divBdr>
    </w:div>
    <w:div w:id="373501520">
      <w:bodyDiv w:val="1"/>
      <w:marLeft w:val="0"/>
      <w:marRight w:val="0"/>
      <w:marTop w:val="0"/>
      <w:marBottom w:val="0"/>
      <w:divBdr>
        <w:top w:val="none" w:sz="0" w:space="0" w:color="auto"/>
        <w:left w:val="none" w:sz="0" w:space="0" w:color="auto"/>
        <w:bottom w:val="none" w:sz="0" w:space="0" w:color="auto"/>
        <w:right w:val="none" w:sz="0" w:space="0" w:color="auto"/>
      </w:divBdr>
    </w:div>
    <w:div w:id="727457114">
      <w:bodyDiv w:val="1"/>
      <w:marLeft w:val="0"/>
      <w:marRight w:val="0"/>
      <w:marTop w:val="0"/>
      <w:marBottom w:val="0"/>
      <w:divBdr>
        <w:top w:val="none" w:sz="0" w:space="0" w:color="auto"/>
        <w:left w:val="none" w:sz="0" w:space="0" w:color="auto"/>
        <w:bottom w:val="none" w:sz="0" w:space="0" w:color="auto"/>
        <w:right w:val="none" w:sz="0" w:space="0" w:color="auto"/>
      </w:divBdr>
      <w:divsChild>
        <w:div w:id="492069499">
          <w:marLeft w:val="0"/>
          <w:marRight w:val="0"/>
          <w:marTop w:val="72"/>
          <w:marBottom w:val="0"/>
          <w:divBdr>
            <w:top w:val="none" w:sz="0" w:space="0" w:color="auto"/>
            <w:left w:val="none" w:sz="0" w:space="0" w:color="auto"/>
            <w:bottom w:val="none" w:sz="0" w:space="0" w:color="auto"/>
            <w:right w:val="none" w:sz="0" w:space="0" w:color="auto"/>
          </w:divBdr>
          <w:divsChild>
            <w:div w:id="1325471383">
              <w:marLeft w:val="0"/>
              <w:marRight w:val="0"/>
              <w:marTop w:val="0"/>
              <w:marBottom w:val="0"/>
              <w:divBdr>
                <w:top w:val="none" w:sz="0" w:space="0" w:color="auto"/>
                <w:left w:val="none" w:sz="0" w:space="0" w:color="auto"/>
                <w:bottom w:val="none" w:sz="0" w:space="0" w:color="auto"/>
                <w:right w:val="none" w:sz="0" w:space="0" w:color="auto"/>
              </w:divBdr>
              <w:divsChild>
                <w:div w:id="1932927594">
                  <w:marLeft w:val="0"/>
                  <w:marRight w:val="0"/>
                  <w:marTop w:val="120"/>
                  <w:marBottom w:val="0"/>
                  <w:divBdr>
                    <w:top w:val="none" w:sz="0" w:space="0" w:color="auto"/>
                    <w:left w:val="none" w:sz="0" w:space="0" w:color="auto"/>
                    <w:bottom w:val="none" w:sz="0" w:space="0" w:color="auto"/>
                    <w:right w:val="none" w:sz="0" w:space="0" w:color="auto"/>
                  </w:divBdr>
                  <w:divsChild>
                    <w:div w:id="779376045">
                      <w:marLeft w:val="0"/>
                      <w:marRight w:val="0"/>
                      <w:marTop w:val="0"/>
                      <w:marBottom w:val="0"/>
                      <w:divBdr>
                        <w:top w:val="none" w:sz="0" w:space="0" w:color="auto"/>
                        <w:left w:val="single" w:sz="4" w:space="6" w:color="68BC80"/>
                        <w:bottom w:val="none" w:sz="0" w:space="0" w:color="auto"/>
                        <w:right w:val="single" w:sz="4" w:space="6" w:color="68BC80"/>
                      </w:divBdr>
                      <w:divsChild>
                        <w:div w:id="877161697">
                          <w:marLeft w:val="0"/>
                          <w:marRight w:val="0"/>
                          <w:marTop w:val="0"/>
                          <w:marBottom w:val="0"/>
                          <w:divBdr>
                            <w:top w:val="none" w:sz="0" w:space="0" w:color="auto"/>
                            <w:left w:val="none" w:sz="0" w:space="0" w:color="auto"/>
                            <w:bottom w:val="none" w:sz="0" w:space="0" w:color="auto"/>
                            <w:right w:val="none" w:sz="0" w:space="0" w:color="auto"/>
                          </w:divBdr>
                          <w:divsChild>
                            <w:div w:id="4655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862144">
      <w:bodyDiv w:val="1"/>
      <w:marLeft w:val="0"/>
      <w:marRight w:val="0"/>
      <w:marTop w:val="0"/>
      <w:marBottom w:val="0"/>
      <w:divBdr>
        <w:top w:val="none" w:sz="0" w:space="0" w:color="auto"/>
        <w:left w:val="none" w:sz="0" w:space="0" w:color="auto"/>
        <w:bottom w:val="none" w:sz="0" w:space="0" w:color="auto"/>
        <w:right w:val="none" w:sz="0" w:space="0" w:color="auto"/>
      </w:divBdr>
      <w:divsChild>
        <w:div w:id="1166483096">
          <w:marLeft w:val="0"/>
          <w:marRight w:val="0"/>
          <w:marTop w:val="0"/>
          <w:marBottom w:val="0"/>
          <w:divBdr>
            <w:top w:val="none" w:sz="0" w:space="0" w:color="auto"/>
            <w:left w:val="none" w:sz="0" w:space="0" w:color="auto"/>
            <w:bottom w:val="none" w:sz="0" w:space="0" w:color="auto"/>
            <w:right w:val="none" w:sz="0" w:space="0" w:color="auto"/>
          </w:divBdr>
        </w:div>
      </w:divsChild>
    </w:div>
    <w:div w:id="1481507725">
      <w:bodyDiv w:val="1"/>
      <w:marLeft w:val="0"/>
      <w:marRight w:val="0"/>
      <w:marTop w:val="0"/>
      <w:marBottom w:val="0"/>
      <w:divBdr>
        <w:top w:val="none" w:sz="0" w:space="0" w:color="auto"/>
        <w:left w:val="none" w:sz="0" w:space="0" w:color="auto"/>
        <w:bottom w:val="none" w:sz="0" w:space="0" w:color="auto"/>
        <w:right w:val="none" w:sz="0" w:space="0" w:color="auto"/>
      </w:divBdr>
      <w:divsChild>
        <w:div w:id="1392583918">
          <w:marLeft w:val="0"/>
          <w:marRight w:val="0"/>
          <w:marTop w:val="72"/>
          <w:marBottom w:val="0"/>
          <w:divBdr>
            <w:top w:val="none" w:sz="0" w:space="0" w:color="auto"/>
            <w:left w:val="none" w:sz="0" w:space="0" w:color="auto"/>
            <w:bottom w:val="none" w:sz="0" w:space="0" w:color="auto"/>
            <w:right w:val="none" w:sz="0" w:space="0" w:color="auto"/>
          </w:divBdr>
          <w:divsChild>
            <w:div w:id="507985316">
              <w:marLeft w:val="0"/>
              <w:marRight w:val="0"/>
              <w:marTop w:val="0"/>
              <w:marBottom w:val="0"/>
              <w:divBdr>
                <w:top w:val="none" w:sz="0" w:space="0" w:color="auto"/>
                <w:left w:val="none" w:sz="0" w:space="0" w:color="auto"/>
                <w:bottom w:val="none" w:sz="0" w:space="0" w:color="auto"/>
                <w:right w:val="none" w:sz="0" w:space="0" w:color="auto"/>
              </w:divBdr>
              <w:divsChild>
                <w:div w:id="1201473257">
                  <w:marLeft w:val="0"/>
                  <w:marRight w:val="0"/>
                  <w:marTop w:val="120"/>
                  <w:marBottom w:val="0"/>
                  <w:divBdr>
                    <w:top w:val="none" w:sz="0" w:space="0" w:color="auto"/>
                    <w:left w:val="none" w:sz="0" w:space="0" w:color="auto"/>
                    <w:bottom w:val="none" w:sz="0" w:space="0" w:color="auto"/>
                    <w:right w:val="none" w:sz="0" w:space="0" w:color="auto"/>
                  </w:divBdr>
                  <w:divsChild>
                    <w:div w:id="2017343367">
                      <w:marLeft w:val="0"/>
                      <w:marRight w:val="0"/>
                      <w:marTop w:val="0"/>
                      <w:marBottom w:val="0"/>
                      <w:divBdr>
                        <w:top w:val="none" w:sz="0" w:space="0" w:color="auto"/>
                        <w:left w:val="single" w:sz="4" w:space="6" w:color="68BC80"/>
                        <w:bottom w:val="none" w:sz="0" w:space="0" w:color="auto"/>
                        <w:right w:val="single" w:sz="4" w:space="6" w:color="68BC80"/>
                      </w:divBdr>
                      <w:divsChild>
                        <w:div w:id="307785916">
                          <w:marLeft w:val="0"/>
                          <w:marRight w:val="0"/>
                          <w:marTop w:val="0"/>
                          <w:marBottom w:val="0"/>
                          <w:divBdr>
                            <w:top w:val="none" w:sz="0" w:space="0" w:color="auto"/>
                            <w:left w:val="none" w:sz="0" w:space="0" w:color="auto"/>
                            <w:bottom w:val="none" w:sz="0" w:space="0" w:color="auto"/>
                            <w:right w:val="none" w:sz="0" w:space="0" w:color="auto"/>
                          </w:divBdr>
                          <w:divsChild>
                            <w:div w:id="15365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48552">
      <w:bodyDiv w:val="1"/>
      <w:marLeft w:val="0"/>
      <w:marRight w:val="0"/>
      <w:marTop w:val="0"/>
      <w:marBottom w:val="0"/>
      <w:divBdr>
        <w:top w:val="none" w:sz="0" w:space="0" w:color="auto"/>
        <w:left w:val="none" w:sz="0" w:space="0" w:color="auto"/>
        <w:bottom w:val="none" w:sz="0" w:space="0" w:color="auto"/>
        <w:right w:val="none" w:sz="0" w:space="0" w:color="auto"/>
      </w:divBdr>
      <w:divsChild>
        <w:div w:id="1518346742">
          <w:marLeft w:val="0"/>
          <w:marRight w:val="0"/>
          <w:marTop w:val="90"/>
          <w:marBottom w:val="0"/>
          <w:divBdr>
            <w:top w:val="none" w:sz="0" w:space="0" w:color="auto"/>
            <w:left w:val="none" w:sz="0" w:space="0" w:color="auto"/>
            <w:bottom w:val="none" w:sz="0" w:space="0" w:color="auto"/>
            <w:right w:val="none" w:sz="0" w:space="0" w:color="auto"/>
          </w:divBdr>
          <w:divsChild>
            <w:div w:id="870071733">
              <w:marLeft w:val="0"/>
              <w:marRight w:val="0"/>
              <w:marTop w:val="0"/>
              <w:marBottom w:val="0"/>
              <w:divBdr>
                <w:top w:val="none" w:sz="0" w:space="0" w:color="auto"/>
                <w:left w:val="none" w:sz="0" w:space="0" w:color="auto"/>
                <w:bottom w:val="none" w:sz="0" w:space="0" w:color="auto"/>
                <w:right w:val="none" w:sz="0" w:space="0" w:color="auto"/>
              </w:divBdr>
              <w:divsChild>
                <w:div w:id="806166702">
                  <w:marLeft w:val="0"/>
                  <w:marRight w:val="0"/>
                  <w:marTop w:val="150"/>
                  <w:marBottom w:val="0"/>
                  <w:divBdr>
                    <w:top w:val="none" w:sz="0" w:space="0" w:color="auto"/>
                    <w:left w:val="none" w:sz="0" w:space="0" w:color="auto"/>
                    <w:bottom w:val="none" w:sz="0" w:space="0" w:color="auto"/>
                    <w:right w:val="none" w:sz="0" w:space="0" w:color="auto"/>
                  </w:divBdr>
                  <w:divsChild>
                    <w:div w:id="1203637757">
                      <w:marLeft w:val="0"/>
                      <w:marRight w:val="0"/>
                      <w:marTop w:val="0"/>
                      <w:marBottom w:val="0"/>
                      <w:divBdr>
                        <w:top w:val="none" w:sz="0" w:space="0" w:color="auto"/>
                        <w:left w:val="single" w:sz="6" w:space="8" w:color="68BC80"/>
                        <w:bottom w:val="none" w:sz="0" w:space="0" w:color="auto"/>
                        <w:right w:val="single" w:sz="6" w:space="8" w:color="68BC80"/>
                      </w:divBdr>
                      <w:divsChild>
                        <w:div w:id="823662792">
                          <w:marLeft w:val="0"/>
                          <w:marRight w:val="0"/>
                          <w:marTop w:val="0"/>
                          <w:marBottom w:val="0"/>
                          <w:divBdr>
                            <w:top w:val="none" w:sz="0" w:space="0" w:color="auto"/>
                            <w:left w:val="none" w:sz="0" w:space="0" w:color="auto"/>
                            <w:bottom w:val="none" w:sz="0" w:space="0" w:color="auto"/>
                            <w:right w:val="none" w:sz="0" w:space="0" w:color="auto"/>
                          </w:divBdr>
                          <w:divsChild>
                            <w:div w:id="7872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992023693">
          <w:marLeft w:val="0"/>
          <w:marRight w:val="0"/>
          <w:marTop w:val="90"/>
          <w:marBottom w:val="0"/>
          <w:divBdr>
            <w:top w:val="none" w:sz="0" w:space="0" w:color="auto"/>
            <w:left w:val="none" w:sz="0" w:space="0" w:color="auto"/>
            <w:bottom w:val="none" w:sz="0" w:space="0" w:color="auto"/>
            <w:right w:val="none" w:sz="0" w:space="0" w:color="auto"/>
          </w:divBdr>
          <w:divsChild>
            <w:div w:id="1551653539">
              <w:marLeft w:val="0"/>
              <w:marRight w:val="0"/>
              <w:marTop w:val="0"/>
              <w:marBottom w:val="0"/>
              <w:divBdr>
                <w:top w:val="none" w:sz="0" w:space="0" w:color="auto"/>
                <w:left w:val="none" w:sz="0" w:space="0" w:color="auto"/>
                <w:bottom w:val="none" w:sz="0" w:space="0" w:color="auto"/>
                <w:right w:val="none" w:sz="0" w:space="0" w:color="auto"/>
              </w:divBdr>
              <w:divsChild>
                <w:div w:id="395974984">
                  <w:marLeft w:val="0"/>
                  <w:marRight w:val="0"/>
                  <w:marTop w:val="150"/>
                  <w:marBottom w:val="0"/>
                  <w:divBdr>
                    <w:top w:val="none" w:sz="0" w:space="0" w:color="auto"/>
                    <w:left w:val="none" w:sz="0" w:space="0" w:color="auto"/>
                    <w:bottom w:val="none" w:sz="0" w:space="0" w:color="auto"/>
                    <w:right w:val="none" w:sz="0" w:space="0" w:color="auto"/>
                  </w:divBdr>
                  <w:divsChild>
                    <w:div w:id="739212657">
                      <w:marLeft w:val="0"/>
                      <w:marRight w:val="0"/>
                      <w:marTop w:val="0"/>
                      <w:marBottom w:val="0"/>
                      <w:divBdr>
                        <w:top w:val="none" w:sz="0" w:space="0" w:color="auto"/>
                        <w:left w:val="single" w:sz="6" w:space="8" w:color="68BC80"/>
                        <w:bottom w:val="none" w:sz="0" w:space="0" w:color="auto"/>
                        <w:right w:val="single" w:sz="6" w:space="8" w:color="68BC80"/>
                      </w:divBdr>
                      <w:divsChild>
                        <w:div w:id="1867131895">
                          <w:marLeft w:val="0"/>
                          <w:marRight w:val="0"/>
                          <w:marTop w:val="0"/>
                          <w:marBottom w:val="0"/>
                          <w:divBdr>
                            <w:top w:val="none" w:sz="0" w:space="0" w:color="auto"/>
                            <w:left w:val="none" w:sz="0" w:space="0" w:color="auto"/>
                            <w:bottom w:val="none" w:sz="0" w:space="0" w:color="auto"/>
                            <w:right w:val="none" w:sz="0" w:space="0" w:color="auto"/>
                          </w:divBdr>
                          <w:divsChild>
                            <w:div w:id="506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___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ctr">
              <a:defRPr sz="1400" b="0">
                <a:latin typeface="+mj-ea"/>
                <a:ea typeface="+mj-ea"/>
              </a:defRPr>
            </a:pPr>
            <a:r>
              <a:rPr lang="zh-CN" altLang="en-US" sz="1400" b="0">
                <a:latin typeface="+mj-ea"/>
                <a:ea typeface="+mj-ea"/>
              </a:rPr>
              <a:t>图</a:t>
            </a:r>
            <a:r>
              <a:rPr lang="en-US" altLang="zh-CN" sz="1400" b="0">
                <a:latin typeface="+mj-ea"/>
                <a:ea typeface="+mj-ea"/>
              </a:rPr>
              <a:t>2 2012-2017</a:t>
            </a:r>
            <a:r>
              <a:rPr lang="zh-CN" altLang="en-US" sz="1400" b="0">
                <a:latin typeface="+mj-ea"/>
                <a:ea typeface="+mj-ea"/>
              </a:rPr>
              <a:t>年三次产业增加值占县内生产总值的比重</a:t>
            </a:r>
          </a:p>
        </c:rich>
      </c:tx>
      <c:layout>
        <c:manualLayout>
          <c:xMode val="edge"/>
          <c:yMode val="edge"/>
          <c:x val="0.14407542257217942"/>
          <c:y val="1.6645043721866381E-2"/>
        </c:manualLayout>
      </c:layout>
    </c:title>
    <c:plotArea>
      <c:layout/>
      <c:barChart>
        <c:barDir val="col"/>
        <c:grouping val="stacked"/>
        <c:ser>
          <c:idx val="0"/>
          <c:order val="0"/>
          <c:tx>
            <c:strRef>
              <c:f>Sheet1!$B$1</c:f>
              <c:strCache>
                <c:ptCount val="1"/>
                <c:pt idx="0">
                  <c:v>第一产业</c:v>
                </c:pt>
              </c:strCache>
            </c:strRef>
          </c:tx>
          <c:dLbls>
            <c:showVal val="1"/>
          </c:dLbls>
          <c:cat>
            <c:strRef>
              <c:f>Sheet1!$A$2:$A$7</c:f>
              <c:strCache>
                <c:ptCount val="6"/>
                <c:pt idx="0">
                  <c:v>2012年</c:v>
                </c:pt>
                <c:pt idx="1">
                  <c:v>2013年</c:v>
                </c:pt>
                <c:pt idx="2">
                  <c:v>2014年</c:v>
                </c:pt>
                <c:pt idx="3">
                  <c:v>2015年</c:v>
                </c:pt>
                <c:pt idx="4">
                  <c:v>2016年</c:v>
                </c:pt>
                <c:pt idx="5">
                  <c:v>2017年</c:v>
                </c:pt>
              </c:strCache>
            </c:strRef>
          </c:cat>
          <c:val>
            <c:numRef>
              <c:f>Sheet1!$B$2:$B$7</c:f>
              <c:numCache>
                <c:formatCode>General</c:formatCode>
                <c:ptCount val="6"/>
                <c:pt idx="0">
                  <c:v>19.399999999999999</c:v>
                </c:pt>
                <c:pt idx="1">
                  <c:v>18.7</c:v>
                </c:pt>
                <c:pt idx="2">
                  <c:v>17.3</c:v>
                </c:pt>
                <c:pt idx="3">
                  <c:v>17</c:v>
                </c:pt>
                <c:pt idx="4">
                  <c:v>17</c:v>
                </c:pt>
                <c:pt idx="5">
                  <c:v>15.9</c:v>
                </c:pt>
              </c:numCache>
            </c:numRef>
          </c:val>
        </c:ser>
        <c:ser>
          <c:idx val="1"/>
          <c:order val="1"/>
          <c:tx>
            <c:strRef>
              <c:f>Sheet1!$C$1</c:f>
              <c:strCache>
                <c:ptCount val="1"/>
                <c:pt idx="0">
                  <c:v>第二产业</c:v>
                </c:pt>
              </c:strCache>
            </c:strRef>
          </c:tx>
          <c:dLbls>
            <c:showVal val="1"/>
          </c:dLbls>
          <c:cat>
            <c:strRef>
              <c:f>Sheet1!$A$2:$A$7</c:f>
              <c:strCache>
                <c:ptCount val="6"/>
                <c:pt idx="0">
                  <c:v>2012年</c:v>
                </c:pt>
                <c:pt idx="1">
                  <c:v>2013年</c:v>
                </c:pt>
                <c:pt idx="2">
                  <c:v>2014年</c:v>
                </c:pt>
                <c:pt idx="3">
                  <c:v>2015年</c:v>
                </c:pt>
                <c:pt idx="4">
                  <c:v>2016年</c:v>
                </c:pt>
                <c:pt idx="5">
                  <c:v>2017年</c:v>
                </c:pt>
              </c:strCache>
            </c:strRef>
          </c:cat>
          <c:val>
            <c:numRef>
              <c:f>Sheet1!$C$2:$C$7</c:f>
              <c:numCache>
                <c:formatCode>General</c:formatCode>
                <c:ptCount val="6"/>
                <c:pt idx="0">
                  <c:v>36.200000000000003</c:v>
                </c:pt>
                <c:pt idx="1">
                  <c:v>32.800000000000004</c:v>
                </c:pt>
                <c:pt idx="2">
                  <c:v>31.9</c:v>
                </c:pt>
                <c:pt idx="3">
                  <c:v>30.1</c:v>
                </c:pt>
                <c:pt idx="4">
                  <c:v>29.8</c:v>
                </c:pt>
                <c:pt idx="5">
                  <c:v>28.7</c:v>
                </c:pt>
              </c:numCache>
            </c:numRef>
          </c:val>
        </c:ser>
        <c:ser>
          <c:idx val="2"/>
          <c:order val="2"/>
          <c:tx>
            <c:strRef>
              <c:f>Sheet1!$D$1</c:f>
              <c:strCache>
                <c:ptCount val="1"/>
                <c:pt idx="0">
                  <c:v>第三产业</c:v>
                </c:pt>
              </c:strCache>
            </c:strRef>
          </c:tx>
          <c:spPr>
            <a:ln>
              <a:noFill/>
            </a:ln>
          </c:spPr>
          <c:dLbls>
            <c:showVal val="1"/>
          </c:dLbls>
          <c:cat>
            <c:strRef>
              <c:f>Sheet1!$A$2:$A$7</c:f>
              <c:strCache>
                <c:ptCount val="6"/>
                <c:pt idx="0">
                  <c:v>2012年</c:v>
                </c:pt>
                <c:pt idx="1">
                  <c:v>2013年</c:v>
                </c:pt>
                <c:pt idx="2">
                  <c:v>2014年</c:v>
                </c:pt>
                <c:pt idx="3">
                  <c:v>2015年</c:v>
                </c:pt>
                <c:pt idx="4">
                  <c:v>2016年</c:v>
                </c:pt>
                <c:pt idx="5">
                  <c:v>2017年</c:v>
                </c:pt>
              </c:strCache>
            </c:strRef>
          </c:cat>
          <c:val>
            <c:numRef>
              <c:f>Sheet1!$D$2:$D$7</c:f>
              <c:numCache>
                <c:formatCode>General</c:formatCode>
                <c:ptCount val="6"/>
                <c:pt idx="0">
                  <c:v>44.4</c:v>
                </c:pt>
                <c:pt idx="1">
                  <c:v>48.5</c:v>
                </c:pt>
                <c:pt idx="2">
                  <c:v>50.8</c:v>
                </c:pt>
                <c:pt idx="3">
                  <c:v>52.9</c:v>
                </c:pt>
                <c:pt idx="4">
                  <c:v>53.2</c:v>
                </c:pt>
                <c:pt idx="5">
                  <c:v>55.4</c:v>
                </c:pt>
              </c:numCache>
            </c:numRef>
          </c:val>
        </c:ser>
        <c:gapWidth val="55"/>
        <c:overlap val="100"/>
        <c:axId val="74905472"/>
        <c:axId val="77520896"/>
      </c:barChart>
      <c:catAx>
        <c:axId val="74905472"/>
        <c:scaling>
          <c:orientation val="minMax"/>
        </c:scaling>
        <c:axPos val="b"/>
        <c:majorTickMark val="none"/>
        <c:tickLblPos val="nextTo"/>
        <c:crossAx val="77520896"/>
        <c:crosses val="autoZero"/>
        <c:auto val="1"/>
        <c:lblAlgn val="ctr"/>
        <c:lblOffset val="100"/>
      </c:catAx>
      <c:valAx>
        <c:axId val="77520896"/>
        <c:scaling>
          <c:orientation val="minMax"/>
          <c:max val="100"/>
        </c:scaling>
        <c:axPos val="l"/>
        <c:majorGridlines/>
        <c:numFmt formatCode="General" sourceLinked="1"/>
        <c:majorTickMark val="none"/>
        <c:tickLblPos val="nextTo"/>
        <c:crossAx val="74905472"/>
        <c:crosses val="autoZero"/>
        <c:crossBetween val="between"/>
        <c:minorUnit val="4"/>
      </c:valAx>
      <c:spPr>
        <a:noFill/>
        <a:ln>
          <a:noFill/>
        </a:ln>
      </c:spPr>
    </c:plotArea>
    <c:legend>
      <c:legendPos val="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7" b="0" i="0" u="none" strike="noStrike" baseline="0">
                <a:solidFill>
                  <a:srgbClr val="000000"/>
                </a:solidFill>
                <a:latin typeface="宋体"/>
                <a:ea typeface="宋体"/>
                <a:cs typeface="宋体"/>
              </a:defRPr>
            </a:pPr>
            <a:r>
              <a:rPr lang="zh-CN" altLang="en-US"/>
              <a:t>图</a:t>
            </a:r>
            <a:r>
              <a:rPr lang="en-US" altLang="zh-CN"/>
              <a:t>10 2012-2017</a:t>
            </a:r>
            <a:r>
              <a:rPr lang="zh-CN" altLang="en-US"/>
              <a:t>年全县社会消费品零售总额</a:t>
            </a:r>
          </a:p>
        </c:rich>
      </c:tx>
      <c:layout>
        <c:manualLayout>
          <c:xMode val="edge"/>
          <c:yMode val="edge"/>
          <c:x val="0.3067885117493595"/>
          <c:y val="1.8633540372670808E-2"/>
        </c:manualLayout>
      </c:layout>
      <c:spPr>
        <a:noFill/>
        <a:ln w="25329">
          <a:noFill/>
        </a:ln>
      </c:spPr>
    </c:title>
    <c:plotArea>
      <c:layout>
        <c:manualLayout>
          <c:layoutTarget val="inner"/>
          <c:xMode val="edge"/>
          <c:yMode val="edge"/>
          <c:x val="0.16449086161879897"/>
          <c:y val="0.31055900621118016"/>
          <c:w val="0.74934725848564065"/>
          <c:h val="0.60248447204970201"/>
        </c:manualLayout>
      </c:layout>
      <c:barChart>
        <c:barDir val="col"/>
        <c:grouping val="clustered"/>
        <c:ser>
          <c:idx val="0"/>
          <c:order val="0"/>
          <c:tx>
            <c:strRef>
              <c:f>Sheet1!$A$2</c:f>
              <c:strCache>
                <c:ptCount val="1"/>
                <c:pt idx="0">
                  <c:v>社会消费品零售总额</c:v>
                </c:pt>
              </c:strCache>
            </c:strRef>
          </c:tx>
          <c:spPr>
            <a:solidFill>
              <a:srgbClr val="FFC000"/>
            </a:solidFill>
            <a:ln w="12665">
              <a:solidFill>
                <a:srgbClr val="000000"/>
              </a:solidFill>
              <a:prstDash val="solid"/>
            </a:ln>
          </c:spPr>
          <c:dLbls>
            <c:spPr>
              <a:noFill/>
              <a:ln w="25329">
                <a:noFill/>
              </a:ln>
            </c:spPr>
            <c:txPr>
              <a:bodyPr/>
              <a:lstStyle/>
              <a:p>
                <a:pPr>
                  <a:defRPr sz="798"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245607</c:v>
                </c:pt>
                <c:pt idx="1">
                  <c:v>267466</c:v>
                </c:pt>
                <c:pt idx="2">
                  <c:v>297208</c:v>
                </c:pt>
                <c:pt idx="3">
                  <c:v>334649</c:v>
                </c:pt>
                <c:pt idx="4">
                  <c:v>371737.2</c:v>
                </c:pt>
                <c:pt idx="5">
                  <c:v>408089.59999999998</c:v>
                </c:pt>
              </c:numCache>
            </c:numRef>
          </c:val>
        </c:ser>
        <c:axId val="125279616"/>
        <c:axId val="125285888"/>
      </c:barChart>
      <c:catAx>
        <c:axId val="125279616"/>
        <c:scaling>
          <c:orientation val="minMax"/>
        </c:scaling>
        <c:axPos val="b"/>
        <c:title>
          <c:tx>
            <c:rich>
              <a:bodyPr/>
              <a:lstStyle/>
              <a:p>
                <a:pPr>
                  <a:defRPr sz="798" b="0" i="0" u="none" strike="noStrike" baseline="0">
                    <a:solidFill>
                      <a:srgbClr val="000000"/>
                    </a:solidFill>
                    <a:latin typeface="宋体"/>
                    <a:ea typeface="宋体"/>
                    <a:cs typeface="宋体"/>
                  </a:defRPr>
                </a:pPr>
                <a:r>
                  <a:rPr lang="zh-CN" altLang="en-US"/>
                  <a:t>年份</a:t>
                </a:r>
              </a:p>
            </c:rich>
          </c:tx>
          <c:layout>
            <c:manualLayout>
              <c:xMode val="edge"/>
              <c:yMode val="edge"/>
              <c:x val="0.89425587467363465"/>
              <c:y val="0.93788819875775176"/>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5285888"/>
        <c:crosses val="autoZero"/>
        <c:auto val="1"/>
        <c:lblAlgn val="ctr"/>
        <c:lblOffset val="100"/>
        <c:tickLblSkip val="1"/>
        <c:tickMarkSkip val="1"/>
      </c:catAx>
      <c:valAx>
        <c:axId val="125285888"/>
        <c:scaling>
          <c:orientation val="minMax"/>
        </c:scaling>
        <c:axPos val="l"/>
        <c:title>
          <c:tx>
            <c:rich>
              <a:bodyPr rot="0" vert="horz"/>
              <a:lstStyle/>
              <a:p>
                <a:pPr algn="ctr">
                  <a:defRPr sz="1097" b="0" i="0" u="none" strike="noStrike" baseline="0">
                    <a:solidFill>
                      <a:srgbClr val="000000"/>
                    </a:solidFill>
                    <a:latin typeface="宋体"/>
                    <a:ea typeface="宋体"/>
                    <a:cs typeface="宋体"/>
                  </a:defRPr>
                </a:pPr>
                <a:r>
                  <a:rPr lang="zh-CN" altLang="en-US"/>
                  <a:t>万元</a:t>
                </a:r>
              </a:p>
            </c:rich>
          </c:tx>
          <c:layout>
            <c:manualLayout>
              <c:xMode val="edge"/>
              <c:yMode val="edge"/>
              <c:x val="0.11488250652741511"/>
              <c:y val="0.15838509316770663"/>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5279616"/>
        <c:crosses val="autoZero"/>
        <c:crossBetween val="between"/>
      </c:valAx>
      <c:spPr>
        <a:noFill/>
        <a:ln w="25329">
          <a:noFill/>
        </a:ln>
      </c:spPr>
    </c:plotArea>
    <c:plotVisOnly val="1"/>
    <c:dispBlanksAs val="gap"/>
  </c:chart>
  <c:spPr>
    <a:noFill/>
    <a:ln>
      <a:noFill/>
    </a:ln>
  </c:spPr>
  <c:txPr>
    <a:bodyPr/>
    <a:lstStyle/>
    <a:p>
      <a:pPr>
        <a:defRPr sz="1197" b="0" i="0" u="none" strike="noStrike" baseline="0">
          <a:solidFill>
            <a:srgbClr val="000000"/>
          </a:solidFill>
          <a:latin typeface="宋体"/>
          <a:ea typeface="宋体"/>
          <a:cs typeface="宋体"/>
        </a:defRPr>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mj-ea"/>
                <a:ea typeface="+mj-ea"/>
                <a:cs typeface="宋体"/>
              </a:defRPr>
            </a:pPr>
            <a:r>
              <a:rPr lang="zh-CN" altLang="en-US" sz="1200">
                <a:latin typeface="+mj-ea"/>
                <a:ea typeface="+mj-ea"/>
              </a:rPr>
              <a:t>图</a:t>
            </a:r>
            <a:r>
              <a:rPr lang="en-US" altLang="zh-CN" sz="1200">
                <a:latin typeface="+mj-ea"/>
                <a:ea typeface="+mj-ea"/>
              </a:rPr>
              <a:t>11  2012-2017</a:t>
            </a:r>
            <a:r>
              <a:rPr lang="zh-CN" altLang="en-US" sz="1200">
                <a:latin typeface="+mj-ea"/>
                <a:ea typeface="+mj-ea"/>
              </a:rPr>
              <a:t>年卫生技术人员人数</a:t>
            </a:r>
          </a:p>
        </c:rich>
      </c:tx>
      <c:layout>
        <c:manualLayout>
          <c:xMode val="edge"/>
          <c:yMode val="edge"/>
          <c:x val="0.31462140992167886"/>
          <c:y val="2.1739130434782612E-2"/>
        </c:manualLayout>
      </c:layout>
      <c:spPr>
        <a:noFill/>
        <a:ln w="25329">
          <a:noFill/>
        </a:ln>
      </c:spPr>
    </c:title>
    <c:plotArea>
      <c:layout>
        <c:manualLayout>
          <c:layoutTarget val="inner"/>
          <c:xMode val="edge"/>
          <c:yMode val="edge"/>
          <c:x val="8.6161879895561358E-2"/>
          <c:y val="0.30745341614907434"/>
          <c:w val="0.82767624020889541"/>
          <c:h val="0.60559006211181177"/>
        </c:manualLayout>
      </c:layout>
      <c:barChart>
        <c:barDir val="col"/>
        <c:grouping val="clustered"/>
        <c:ser>
          <c:idx val="0"/>
          <c:order val="0"/>
          <c:tx>
            <c:strRef>
              <c:f>Sheet1!$A$2</c:f>
              <c:strCache>
                <c:ptCount val="1"/>
                <c:pt idx="0">
                  <c:v>卫生技术人员人数</c:v>
                </c:pt>
              </c:strCache>
            </c:strRef>
          </c:tx>
          <c:spPr>
            <a:solidFill>
              <a:srgbClr val="FF0000"/>
            </a:solidFill>
            <a:ln w="12665">
              <a:solidFill>
                <a:srgbClr val="000000"/>
              </a:solidFill>
              <a:prstDash val="solid"/>
            </a:ln>
          </c:spPr>
          <c:dLbls>
            <c:spPr>
              <a:noFill/>
              <a:ln w="25329">
                <a:noFill/>
              </a:ln>
            </c:spPr>
            <c:txPr>
              <a:bodyPr/>
              <a:lstStyle/>
              <a:p>
                <a:pPr>
                  <a:defRPr sz="798"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697</c:v>
                </c:pt>
                <c:pt idx="1">
                  <c:v>706</c:v>
                </c:pt>
                <c:pt idx="2">
                  <c:v>971</c:v>
                </c:pt>
                <c:pt idx="3">
                  <c:v>1006</c:v>
                </c:pt>
                <c:pt idx="4">
                  <c:v>1049</c:v>
                </c:pt>
                <c:pt idx="5">
                  <c:v>1101</c:v>
                </c:pt>
              </c:numCache>
            </c:numRef>
          </c:val>
        </c:ser>
        <c:axId val="119494144"/>
        <c:axId val="119496064"/>
      </c:barChart>
      <c:catAx>
        <c:axId val="119494144"/>
        <c:scaling>
          <c:orientation val="minMax"/>
        </c:scaling>
        <c:axPos val="b"/>
        <c:title>
          <c:tx>
            <c:rich>
              <a:bodyPr/>
              <a:lstStyle/>
              <a:p>
                <a:pPr>
                  <a:defRPr sz="798" b="0" i="0" u="none" strike="noStrike" baseline="0">
                    <a:solidFill>
                      <a:srgbClr val="000000"/>
                    </a:solidFill>
                    <a:latin typeface="宋体"/>
                    <a:ea typeface="宋体"/>
                    <a:cs typeface="宋体"/>
                  </a:defRPr>
                </a:pPr>
                <a:r>
                  <a:rPr lang="zh-CN" altLang="en-US"/>
                  <a:t>年份</a:t>
                </a:r>
              </a:p>
            </c:rich>
          </c:tx>
          <c:layout>
            <c:manualLayout>
              <c:xMode val="edge"/>
              <c:yMode val="edge"/>
              <c:x val="0.89425587467363465"/>
              <c:y val="0.9378881987577522"/>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19496064"/>
        <c:crosses val="autoZero"/>
        <c:auto val="1"/>
        <c:lblAlgn val="ctr"/>
        <c:lblOffset val="100"/>
        <c:tickLblSkip val="1"/>
        <c:tickMarkSkip val="1"/>
      </c:catAx>
      <c:valAx>
        <c:axId val="119496064"/>
        <c:scaling>
          <c:orientation val="minMax"/>
        </c:scaling>
        <c:axPos val="l"/>
        <c:title>
          <c:tx>
            <c:rich>
              <a:bodyPr rot="0" vert="horz"/>
              <a:lstStyle/>
              <a:p>
                <a:pPr algn="ctr">
                  <a:defRPr sz="997" b="0" i="0" u="none" strike="noStrike" baseline="0">
                    <a:solidFill>
                      <a:srgbClr val="000000"/>
                    </a:solidFill>
                    <a:latin typeface="宋体"/>
                    <a:ea typeface="宋体"/>
                    <a:cs typeface="宋体"/>
                  </a:defRPr>
                </a:pPr>
                <a:r>
                  <a:rPr lang="zh-CN" altLang="en-US"/>
                  <a:t>人</a:t>
                </a:r>
              </a:p>
            </c:rich>
          </c:tx>
          <c:layout>
            <c:manualLayout>
              <c:xMode val="edge"/>
              <c:yMode val="edge"/>
              <c:x val="9.5300261096605693E-2"/>
              <c:y val="0.22360248447204994"/>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19494144"/>
        <c:crosses val="autoZero"/>
        <c:crossBetween val="between"/>
      </c:valAx>
      <c:spPr>
        <a:noFill/>
        <a:ln w="25329">
          <a:noFill/>
        </a:ln>
      </c:spPr>
    </c:plotArea>
    <c:plotVisOnly val="1"/>
    <c:dispBlanksAs val="gap"/>
  </c:chart>
  <c:spPr>
    <a:noFill/>
    <a:ln>
      <a:noFill/>
    </a:ln>
  </c:spPr>
  <c:txPr>
    <a:bodyPr/>
    <a:lstStyle/>
    <a:p>
      <a:pPr>
        <a:defRPr sz="1197" b="0" i="0" u="none" strike="noStrike" baseline="0">
          <a:solidFill>
            <a:srgbClr val="000000"/>
          </a:solidFill>
          <a:latin typeface="宋体"/>
          <a:ea typeface="宋体"/>
          <a:cs typeface="宋体"/>
        </a:defRPr>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a:t>图</a:t>
            </a:r>
            <a:r>
              <a:rPr lang="en-US" altLang="zh-CN" sz="1200"/>
              <a:t>13  2012-2017</a:t>
            </a:r>
            <a:r>
              <a:rPr lang="zh-CN" altLang="en-US" sz="1200"/>
              <a:t>年全县常住居民人均可支配收入及其增长速度</a:t>
            </a:r>
          </a:p>
        </c:rich>
      </c:tx>
      <c:layout>
        <c:manualLayout>
          <c:xMode val="edge"/>
          <c:yMode val="edge"/>
          <c:x val="0.19312437887011688"/>
          <c:y val="1.6869905650283033E-2"/>
        </c:manualLayout>
      </c:layout>
      <c:spPr>
        <a:noFill/>
        <a:ln w="25301">
          <a:noFill/>
        </a:ln>
      </c:spPr>
    </c:title>
    <c:plotArea>
      <c:layout>
        <c:manualLayout>
          <c:layoutTarget val="inner"/>
          <c:xMode val="edge"/>
          <c:yMode val="edge"/>
          <c:x val="0.10512483574244416"/>
          <c:y val="0.17064977578909649"/>
          <c:w val="0.77398160315376374"/>
          <c:h val="0.70810394088191886"/>
        </c:manualLayout>
      </c:layout>
      <c:barChart>
        <c:barDir val="col"/>
        <c:grouping val="clustered"/>
        <c:ser>
          <c:idx val="0"/>
          <c:order val="0"/>
          <c:tx>
            <c:strRef>
              <c:f>Sheet1!$A$2</c:f>
              <c:strCache>
                <c:ptCount val="1"/>
                <c:pt idx="0">
                  <c:v>人均可支配收入</c:v>
                </c:pt>
              </c:strCache>
            </c:strRef>
          </c:tx>
          <c:spPr>
            <a:solidFill>
              <a:srgbClr val="66FF66"/>
            </a:solidFill>
            <a:ln w="12650">
              <a:solidFill>
                <a:srgbClr val="000000"/>
              </a:solidFill>
              <a:prstDash val="solid"/>
            </a:ln>
          </c:spPr>
          <c:dLbls>
            <c:spPr>
              <a:noFill/>
              <a:ln w="25301">
                <a:noFill/>
              </a:ln>
            </c:spPr>
            <c:txPr>
              <a:bodyPr/>
              <a:lstStyle/>
              <a:p>
                <a:pPr>
                  <a:defRPr sz="797" b="0" i="0" u="none" strike="noStrike" baseline="0">
                    <a:solidFill>
                      <a:srgbClr val="000000"/>
                    </a:solidFill>
                    <a:latin typeface="宋体"/>
                    <a:ea typeface="宋体"/>
                    <a:cs typeface="宋体"/>
                  </a:defRPr>
                </a:pPr>
                <a:endParaRPr lang="zh-CN"/>
              </a:p>
            </c:txPr>
            <c:dLblPos val="outEnd"/>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12419.7</c:v>
                </c:pt>
                <c:pt idx="1">
                  <c:v>13711.4</c:v>
                </c:pt>
                <c:pt idx="2">
                  <c:v>15096.3</c:v>
                </c:pt>
                <c:pt idx="3">
                  <c:v>16436.2</c:v>
                </c:pt>
                <c:pt idx="4">
                  <c:v>17847.5</c:v>
                </c:pt>
                <c:pt idx="5">
                  <c:v>19538.5</c:v>
                </c:pt>
              </c:numCache>
            </c:numRef>
          </c:val>
        </c:ser>
        <c:axId val="197191552"/>
        <c:axId val="197402624"/>
      </c:barChart>
      <c:lineChart>
        <c:grouping val="standard"/>
        <c:ser>
          <c:idx val="1"/>
          <c:order val="1"/>
          <c:tx>
            <c:strRef>
              <c:f>Sheet1!$A$3</c:f>
              <c:strCache>
                <c:ptCount val="1"/>
                <c:pt idx="0">
                  <c:v>比上年增长</c:v>
                </c:pt>
              </c:strCache>
            </c:strRef>
          </c:tx>
          <c:spPr>
            <a:ln w="12650">
              <a:solidFill>
                <a:srgbClr val="FF00FF"/>
              </a:solidFill>
              <a:prstDash val="solid"/>
            </a:ln>
          </c:spPr>
          <c:marker>
            <c:symbol val="square"/>
            <c:size val="4"/>
            <c:spPr>
              <a:solidFill>
                <a:srgbClr val="FF00FF"/>
              </a:solidFill>
              <a:ln>
                <a:solidFill>
                  <a:srgbClr val="FF00FF"/>
                </a:solidFill>
                <a:prstDash val="solid"/>
              </a:ln>
            </c:spPr>
          </c:marker>
          <c:dLbls>
            <c:spPr>
              <a:noFill/>
              <a:ln w="25301">
                <a:noFill/>
              </a:ln>
            </c:spPr>
            <c:txPr>
              <a:bodyPr/>
              <a:lstStyle/>
              <a:p>
                <a:pPr>
                  <a:defRPr sz="797"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8.7000000000000011</c:v>
                </c:pt>
                <c:pt idx="1">
                  <c:v>8.4</c:v>
                </c:pt>
                <c:pt idx="2">
                  <c:v>7.5</c:v>
                </c:pt>
                <c:pt idx="3">
                  <c:v>7.2</c:v>
                </c:pt>
                <c:pt idx="4">
                  <c:v>8.6</c:v>
                </c:pt>
                <c:pt idx="5">
                  <c:v>9.5</c:v>
                </c:pt>
              </c:numCache>
            </c:numRef>
          </c:val>
        </c:ser>
        <c:marker val="1"/>
        <c:axId val="197404544"/>
        <c:axId val="197406080"/>
      </c:lineChart>
      <c:catAx>
        <c:axId val="197191552"/>
        <c:scaling>
          <c:orientation val="minMax"/>
        </c:scaling>
        <c:axPos val="b"/>
        <c:title>
          <c:tx>
            <c:rich>
              <a:bodyPr/>
              <a:lstStyle/>
              <a:p>
                <a:pPr>
                  <a:defRPr sz="797" b="0" i="0" u="none" strike="noStrike" baseline="0">
                    <a:solidFill>
                      <a:srgbClr val="000000"/>
                    </a:solidFill>
                    <a:latin typeface="宋体"/>
                    <a:ea typeface="宋体"/>
                    <a:cs typeface="宋体"/>
                  </a:defRPr>
                </a:pPr>
                <a:r>
                  <a:rPr lang="zh-CN" altLang="en-US"/>
                  <a:t>年份</a:t>
                </a:r>
              </a:p>
            </c:rich>
          </c:tx>
          <c:layout>
            <c:manualLayout>
              <c:xMode val="edge"/>
              <c:yMode val="edge"/>
              <c:x val="0.85939553219450582"/>
              <c:y val="0.937694704049856"/>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97402624"/>
        <c:crosses val="autoZero"/>
        <c:auto val="1"/>
        <c:lblAlgn val="ctr"/>
        <c:lblOffset val="100"/>
        <c:tickLblSkip val="1"/>
        <c:tickMarkSkip val="1"/>
      </c:catAx>
      <c:valAx>
        <c:axId val="197402624"/>
        <c:scaling>
          <c:orientation val="minMax"/>
        </c:scaling>
        <c:axPos val="l"/>
        <c:title>
          <c:tx>
            <c:rich>
              <a:bodyPr rot="0" vert="horz"/>
              <a:lstStyle/>
              <a:p>
                <a:pPr algn="ctr">
                  <a:defRPr sz="797" b="0" i="0" u="none" strike="noStrike" baseline="0">
                    <a:solidFill>
                      <a:srgbClr val="000000"/>
                    </a:solidFill>
                    <a:latin typeface="宋体"/>
                    <a:ea typeface="宋体"/>
                    <a:cs typeface="宋体"/>
                  </a:defRPr>
                </a:pPr>
                <a:r>
                  <a:rPr lang="zh-CN" altLang="en-US"/>
                  <a:t>元</a:t>
                </a:r>
              </a:p>
            </c:rich>
          </c:tx>
          <c:layout>
            <c:manualLayout>
              <c:xMode val="edge"/>
              <c:yMode val="edge"/>
              <c:x val="5.2208037102158412E-2"/>
              <c:y val="9.1776909181316729E-2"/>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97191552"/>
        <c:crosses val="autoZero"/>
        <c:crossBetween val="between"/>
      </c:valAx>
      <c:catAx>
        <c:axId val="197404544"/>
        <c:scaling>
          <c:orientation val="minMax"/>
        </c:scaling>
        <c:delete val="1"/>
        <c:axPos val="b"/>
        <c:numFmt formatCode="General" sourceLinked="1"/>
        <c:tickLblPos val="nextTo"/>
        <c:crossAx val="197406080"/>
        <c:crosses val="autoZero"/>
        <c:auto val="1"/>
        <c:lblAlgn val="ctr"/>
        <c:lblOffset val="100"/>
      </c:catAx>
      <c:valAx>
        <c:axId val="197406080"/>
        <c:scaling>
          <c:orientation val="minMax"/>
          <c:max val="28"/>
          <c:min val="0"/>
        </c:scaling>
        <c:axPos val="r"/>
        <c:title>
          <c:tx>
            <c:rich>
              <a:bodyPr rot="0" vert="horz"/>
              <a:lstStyle/>
              <a:p>
                <a:pPr algn="ctr">
                  <a:defRPr sz="971" b="0" i="0" u="none" strike="noStrike" baseline="0">
                    <a:solidFill>
                      <a:srgbClr val="000000"/>
                    </a:solidFill>
                    <a:latin typeface="宋体"/>
                    <a:ea typeface="宋体"/>
                    <a:cs typeface="宋体"/>
                  </a:defRPr>
                </a:pPr>
                <a:r>
                  <a:rPr lang="en-US" altLang="zh-CN"/>
                  <a:t>%</a:t>
                </a:r>
              </a:p>
            </c:rich>
          </c:tx>
          <c:layout>
            <c:manualLayout>
              <c:xMode val="edge"/>
              <c:yMode val="edge"/>
              <c:x val="0.89438609008824976"/>
              <c:y val="0.12170043492764852"/>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97404544"/>
        <c:crosses val="max"/>
        <c:crossBetween val="between"/>
      </c:valAx>
      <c:spPr>
        <a:noFill/>
        <a:ln w="25301">
          <a:noFill/>
        </a:ln>
      </c:spPr>
    </c:plotArea>
    <c:legend>
      <c:legendPos val="r"/>
      <c:layout>
        <c:manualLayout>
          <c:xMode val="edge"/>
          <c:yMode val="edge"/>
          <c:x val="0.3905197529920445"/>
          <c:y val="0.11858305481599"/>
          <c:w val="0.46443747929567314"/>
          <c:h val="4.5907211238882924E-2"/>
        </c:manualLayout>
      </c:layout>
      <c:spPr>
        <a:solidFill>
          <a:srgbClr val="FFFFFF"/>
        </a:solidFill>
        <a:ln w="3163">
          <a:noFill/>
          <a:prstDash val="solid"/>
        </a:ln>
      </c:spPr>
      <c:txPr>
        <a:bodyPr/>
        <a:lstStyle/>
        <a:p>
          <a:pPr>
            <a:defRPr sz="91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5" b="0" i="0" u="none" strike="noStrike" baseline="0">
          <a:solidFill>
            <a:srgbClr val="000000"/>
          </a:solidFill>
          <a:latin typeface="宋体"/>
          <a:ea typeface="宋体"/>
          <a:cs typeface="宋体"/>
        </a:defRPr>
      </a:pPr>
      <a:endParaRPr lang="zh-CN"/>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a:latin typeface="+mn-ea"/>
                <a:ea typeface="+mn-ea"/>
              </a:defRPr>
            </a:pPr>
            <a:r>
              <a:rPr lang="zh-CN" altLang="en-US" sz="1200" b="0">
                <a:latin typeface="+mn-ea"/>
                <a:ea typeface="+mn-ea"/>
              </a:rPr>
              <a:t>图</a:t>
            </a:r>
            <a:r>
              <a:rPr lang="en-US" altLang="zh-CN" sz="1200" b="0">
                <a:latin typeface="+mn-ea"/>
                <a:ea typeface="+mn-ea"/>
              </a:rPr>
              <a:t>12  </a:t>
            </a:r>
            <a:r>
              <a:rPr lang="en-US" sz="1200" b="0">
                <a:latin typeface="+mn-ea"/>
                <a:ea typeface="+mn-ea"/>
              </a:rPr>
              <a:t>2012-2017</a:t>
            </a:r>
            <a:r>
              <a:rPr lang="zh-CN" sz="1200" b="0">
                <a:latin typeface="+mn-ea"/>
                <a:ea typeface="+mn-ea"/>
              </a:rPr>
              <a:t>年万元国内生产总值能耗降低率</a:t>
            </a:r>
          </a:p>
        </c:rich>
      </c:tx>
    </c:title>
    <c:plotArea>
      <c:layout>
        <c:manualLayout>
          <c:layoutTarget val="inner"/>
          <c:xMode val="edge"/>
          <c:yMode val="edge"/>
          <c:x val="0.1084457971787167"/>
          <c:y val="0.15403434726402418"/>
          <c:w val="0.72870869178635722"/>
          <c:h val="0.7133391583676959"/>
        </c:manualLayout>
      </c:layout>
      <c:lineChart>
        <c:grouping val="standard"/>
        <c:ser>
          <c:idx val="0"/>
          <c:order val="0"/>
          <c:tx>
            <c:strRef>
              <c:f>Sheet1!$A$2</c:f>
              <c:strCache>
                <c:ptCount val="1"/>
                <c:pt idx="0">
                  <c:v>能耗降低率</c:v>
                </c:pt>
              </c:strCache>
            </c:strRef>
          </c:tx>
          <c:dLbls>
            <c:dLbl>
              <c:idx val="2"/>
              <c:layout>
                <c:manualLayout>
                  <c:x val="-6.4281122776944505E-3"/>
                  <c:y val="8.6523902227991067E-3"/>
                </c:manualLayout>
              </c:layout>
              <c:showVal val="1"/>
            </c:dLbl>
            <c:dLbl>
              <c:idx val="3"/>
              <c:layout>
                <c:manualLayout>
                  <c:x val="-4.9282194128992096E-2"/>
                  <c:y val="5.6240536448193816E-2"/>
                </c:manualLayout>
              </c:layout>
              <c:showVal val="1"/>
            </c:dLbl>
            <c:dLbl>
              <c:idx val="4"/>
              <c:layout>
                <c:manualLayout>
                  <c:x val="-3.8568673666166703E-2"/>
                  <c:y val="-4.7588146225394756E-2"/>
                </c:manualLayout>
              </c:layout>
              <c:showVal val="1"/>
            </c:dLbl>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-7.23</c:v>
                </c:pt>
                <c:pt idx="1">
                  <c:v>-1.01</c:v>
                </c:pt>
                <c:pt idx="2">
                  <c:v>-4.9700000000000024</c:v>
                </c:pt>
                <c:pt idx="3">
                  <c:v>-5.0199999999999996</c:v>
                </c:pt>
                <c:pt idx="4">
                  <c:v>-7.0000000000000021E-2</c:v>
                </c:pt>
                <c:pt idx="5">
                  <c:v>-7.8</c:v>
                </c:pt>
              </c:numCache>
            </c:numRef>
          </c:val>
        </c:ser>
        <c:marker val="1"/>
        <c:axId val="197795840"/>
        <c:axId val="197797376"/>
      </c:lineChart>
      <c:catAx>
        <c:axId val="197795840"/>
        <c:scaling>
          <c:orientation val="minMax"/>
        </c:scaling>
        <c:axPos val="b"/>
        <c:numFmt formatCode="General" sourceLinked="1"/>
        <c:majorTickMark val="none"/>
        <c:tickLblPos val="low"/>
        <c:txPr>
          <a:bodyPr rot="0" vert="horz"/>
          <a:lstStyle/>
          <a:p>
            <a:pPr>
              <a:defRPr/>
            </a:pPr>
            <a:endParaRPr lang="zh-CN"/>
          </a:p>
        </c:txPr>
        <c:crossAx val="197797376"/>
        <c:crosses val="autoZero"/>
        <c:lblAlgn val="ctr"/>
        <c:lblOffset val="100"/>
        <c:tickMarkSkip val="1"/>
      </c:catAx>
      <c:valAx>
        <c:axId val="197797376"/>
        <c:scaling>
          <c:orientation val="minMax"/>
          <c:max val="1"/>
        </c:scaling>
        <c:axPos val="l"/>
        <c:majorGridlines>
          <c:spPr>
            <a:ln w="0"/>
          </c:spPr>
        </c:majorGridlines>
        <c:title>
          <c:tx>
            <c:rich>
              <a:bodyPr rot="0" vert="horz"/>
              <a:lstStyle/>
              <a:p>
                <a:pPr>
                  <a:defRPr/>
                </a:pPr>
                <a:r>
                  <a:rPr lang="en-US"/>
                  <a:t>%</a:t>
                </a:r>
                <a:endParaRPr lang="zh-CN"/>
              </a:p>
            </c:rich>
          </c:tx>
          <c:layout>
            <c:manualLayout>
              <c:xMode val="edge"/>
              <c:yMode val="edge"/>
              <c:x val="9.2136275980287743E-2"/>
              <c:y val="5.8140655844365979E-2"/>
            </c:manualLayout>
          </c:layout>
        </c:title>
        <c:numFmt formatCode="General" sourceLinked="1"/>
        <c:majorTickMark val="none"/>
        <c:tickLblPos val="nextTo"/>
        <c:spPr>
          <a:ln>
            <a:noFill/>
          </a:ln>
        </c:spPr>
        <c:txPr>
          <a:bodyPr rot="0" vert="horz"/>
          <a:lstStyle/>
          <a:p>
            <a:pPr>
              <a:defRPr/>
            </a:pPr>
            <a:endParaRPr lang="zh-CN"/>
          </a:p>
        </c:txPr>
        <c:crossAx val="197795840"/>
        <c:crosses val="autoZero"/>
        <c:crossBetween val="between"/>
      </c:valAx>
      <c:spPr>
        <a:noFill/>
        <a:ln>
          <a:noFill/>
        </a:ln>
      </c:spPr>
    </c:plotArea>
    <c:legend>
      <c:legendPos val="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000000"/>
                </a:solidFill>
                <a:latin typeface="+mj-ea"/>
                <a:ea typeface="+mj-ea"/>
                <a:cs typeface="宋体"/>
              </a:defRPr>
            </a:pPr>
            <a:r>
              <a:rPr lang="zh-CN" altLang="en-US" sz="1400" b="0">
                <a:latin typeface="+mj-ea"/>
                <a:ea typeface="+mj-ea"/>
              </a:rPr>
              <a:t>图</a:t>
            </a:r>
            <a:r>
              <a:rPr lang="en-US" altLang="zh-CN" sz="1400" b="0">
                <a:latin typeface="+mj-ea"/>
                <a:ea typeface="+mj-ea"/>
              </a:rPr>
              <a:t>1</a:t>
            </a:r>
            <a:r>
              <a:rPr lang="en-US" altLang="zh-CN" sz="1400" b="0" baseline="0">
                <a:latin typeface="+mj-ea"/>
                <a:ea typeface="+mj-ea"/>
              </a:rPr>
              <a:t> </a:t>
            </a:r>
            <a:r>
              <a:rPr lang="en-US" altLang="zh-CN" sz="1400" b="0">
                <a:latin typeface="+mj-ea"/>
                <a:ea typeface="+mj-ea"/>
              </a:rPr>
              <a:t>2012-2017</a:t>
            </a:r>
            <a:r>
              <a:rPr lang="zh-CN" altLang="en-US" sz="1400" b="0">
                <a:latin typeface="+mj-ea"/>
                <a:ea typeface="+mj-ea"/>
              </a:rPr>
              <a:t>年地区生产总值及其增长速度</a:t>
            </a:r>
          </a:p>
        </c:rich>
      </c:tx>
      <c:layout>
        <c:manualLayout>
          <c:xMode val="edge"/>
          <c:yMode val="edge"/>
          <c:x val="0.17553090361149584"/>
          <c:y val="2.1806790280247231E-2"/>
        </c:manualLayout>
      </c:layout>
      <c:spPr>
        <a:noFill/>
        <a:ln w="25308">
          <a:noFill/>
        </a:ln>
      </c:spPr>
    </c:title>
    <c:plotArea>
      <c:layout>
        <c:manualLayout>
          <c:layoutTarget val="inner"/>
          <c:xMode val="edge"/>
          <c:yMode val="edge"/>
          <c:x val="0.11412268188302579"/>
          <c:y val="0.31464174454828664"/>
          <c:w val="0.78316690442223613"/>
          <c:h val="0.5981308411214955"/>
        </c:manualLayout>
      </c:layout>
      <c:barChart>
        <c:barDir val="col"/>
        <c:grouping val="clustered"/>
        <c:ser>
          <c:idx val="0"/>
          <c:order val="0"/>
          <c:tx>
            <c:strRef>
              <c:f>Sheet1!$A$2</c:f>
              <c:strCache>
                <c:ptCount val="1"/>
                <c:pt idx="0">
                  <c:v>地区生产总值</c:v>
                </c:pt>
              </c:strCache>
            </c:strRef>
          </c:tx>
          <c:spPr>
            <a:solidFill>
              <a:srgbClr val="FFC000"/>
            </a:solidFill>
            <a:ln w="12654">
              <a:solidFill>
                <a:srgbClr val="000000"/>
              </a:solidFill>
              <a:prstDash val="solid"/>
            </a:ln>
          </c:spPr>
          <c:dLbls>
            <c:spPr>
              <a:noFill/>
              <a:ln w="25308">
                <a:noFill/>
              </a:ln>
            </c:spPr>
            <c:txPr>
              <a:bodyPr/>
              <a:lstStyle/>
              <a:p>
                <a:pPr>
                  <a:defRPr sz="797"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508860</c:v>
                </c:pt>
                <c:pt idx="1">
                  <c:v>558861</c:v>
                </c:pt>
                <c:pt idx="2">
                  <c:v>614162</c:v>
                </c:pt>
                <c:pt idx="3">
                  <c:v>671065</c:v>
                </c:pt>
                <c:pt idx="4">
                  <c:v>732019</c:v>
                </c:pt>
                <c:pt idx="5">
                  <c:v>793846</c:v>
                </c:pt>
              </c:numCache>
            </c:numRef>
          </c:val>
        </c:ser>
        <c:axId val="88578688"/>
        <c:axId val="88658688"/>
      </c:barChart>
      <c:lineChart>
        <c:grouping val="standard"/>
        <c:ser>
          <c:idx val="1"/>
          <c:order val="1"/>
          <c:tx>
            <c:strRef>
              <c:f>Sheet1!$A$3</c:f>
              <c:strCache>
                <c:ptCount val="1"/>
                <c:pt idx="0">
                  <c:v>比上年增长</c:v>
                </c:pt>
              </c:strCache>
            </c:strRef>
          </c:tx>
          <c:spPr>
            <a:ln w="12654">
              <a:solidFill>
                <a:srgbClr val="FF00FF"/>
              </a:solidFill>
              <a:prstDash val="solid"/>
            </a:ln>
          </c:spPr>
          <c:marker>
            <c:symbol val="square"/>
            <c:size val="4"/>
            <c:spPr>
              <a:solidFill>
                <a:srgbClr val="FF00FF"/>
              </a:solidFill>
              <a:ln>
                <a:solidFill>
                  <a:srgbClr val="FF00FF"/>
                </a:solidFill>
                <a:prstDash val="solid"/>
              </a:ln>
            </c:spPr>
          </c:marker>
          <c:dLbls>
            <c:spPr>
              <a:noFill/>
              <a:ln w="25308">
                <a:noFill/>
              </a:ln>
            </c:spPr>
            <c:txPr>
              <a:bodyPr/>
              <a:lstStyle/>
              <a:p>
                <a:pPr>
                  <a:defRPr sz="797" b="0" i="0" u="none" strike="noStrike" baseline="0">
                    <a:solidFill>
                      <a:srgbClr val="000000"/>
                    </a:solidFill>
                    <a:latin typeface="宋体"/>
                    <a:ea typeface="宋体"/>
                    <a:cs typeface="宋体"/>
                  </a:defRPr>
                </a:pPr>
                <a:endParaRPr lang="zh-CN"/>
              </a:p>
            </c:txPr>
            <c:dLblPos val="t"/>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10.7</c:v>
                </c:pt>
                <c:pt idx="1">
                  <c:v>12.8</c:v>
                </c:pt>
                <c:pt idx="2">
                  <c:v>11.3</c:v>
                </c:pt>
                <c:pt idx="3">
                  <c:v>10.1</c:v>
                </c:pt>
                <c:pt idx="4">
                  <c:v>6.1</c:v>
                </c:pt>
                <c:pt idx="5">
                  <c:v>7.5</c:v>
                </c:pt>
              </c:numCache>
            </c:numRef>
          </c:val>
        </c:ser>
        <c:marker val="1"/>
        <c:axId val="88958080"/>
        <c:axId val="88960000"/>
      </c:lineChart>
      <c:catAx>
        <c:axId val="88578688"/>
        <c:scaling>
          <c:orientation val="minMax"/>
        </c:scaling>
        <c:axPos val="b"/>
        <c:title>
          <c:tx>
            <c:rich>
              <a:bodyPr/>
              <a:lstStyle/>
              <a:p>
                <a:pPr>
                  <a:defRPr sz="797" b="0" i="0" u="none" strike="noStrike" baseline="0">
                    <a:solidFill>
                      <a:srgbClr val="000000"/>
                    </a:solidFill>
                    <a:latin typeface="宋体"/>
                    <a:ea typeface="宋体"/>
                    <a:cs typeface="宋体"/>
                  </a:defRPr>
                </a:pPr>
                <a:r>
                  <a:rPr lang="zh-CN" altLang="en-US"/>
                  <a:t>年份</a:t>
                </a:r>
              </a:p>
            </c:rich>
          </c:tx>
          <c:layout>
            <c:manualLayout>
              <c:xMode val="edge"/>
              <c:yMode val="edge"/>
              <c:x val="0.87589158345221163"/>
              <c:y val="0.93769470404985533"/>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88658688"/>
        <c:crosses val="autoZero"/>
        <c:auto val="1"/>
        <c:lblAlgn val="ctr"/>
        <c:lblOffset val="100"/>
        <c:tickLblSkip val="1"/>
        <c:tickMarkSkip val="1"/>
      </c:catAx>
      <c:valAx>
        <c:axId val="88658688"/>
        <c:scaling>
          <c:orientation val="minMax"/>
        </c:scaling>
        <c:axPos val="l"/>
        <c:title>
          <c:tx>
            <c:rich>
              <a:bodyPr rot="0" vert="horz"/>
              <a:lstStyle/>
              <a:p>
                <a:pPr algn="ctr">
                  <a:defRPr sz="797" b="0" i="0" u="none" strike="noStrike" baseline="0">
                    <a:solidFill>
                      <a:srgbClr val="000000"/>
                    </a:solidFill>
                    <a:latin typeface="宋体"/>
                    <a:ea typeface="宋体"/>
                    <a:cs typeface="宋体"/>
                  </a:defRPr>
                </a:pPr>
                <a:r>
                  <a:rPr lang="zh-CN" altLang="en-US"/>
                  <a:t>万元</a:t>
                </a:r>
              </a:p>
            </c:rich>
          </c:tx>
          <c:layout>
            <c:manualLayout>
              <c:xMode val="edge"/>
              <c:yMode val="edge"/>
              <c:x val="8.701854493580595E-2"/>
              <c:y val="0.2367601246105919"/>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88578688"/>
        <c:crosses val="autoZero"/>
        <c:crossBetween val="between"/>
      </c:valAx>
      <c:catAx>
        <c:axId val="88958080"/>
        <c:scaling>
          <c:orientation val="minMax"/>
        </c:scaling>
        <c:delete val="1"/>
        <c:axPos val="b"/>
        <c:numFmt formatCode="General" sourceLinked="1"/>
        <c:tickLblPos val="nextTo"/>
        <c:crossAx val="88960000"/>
        <c:crosses val="autoZero"/>
        <c:auto val="1"/>
        <c:lblAlgn val="ctr"/>
        <c:lblOffset val="100"/>
      </c:catAx>
      <c:valAx>
        <c:axId val="88960000"/>
        <c:scaling>
          <c:orientation val="minMax"/>
          <c:max val="19"/>
          <c:min val="5"/>
        </c:scaling>
        <c:axPos val="r"/>
        <c:title>
          <c:tx>
            <c:rich>
              <a:bodyPr rot="0" vert="horz"/>
              <a:lstStyle/>
              <a:p>
                <a:pPr algn="ctr">
                  <a:defRPr sz="971" b="0" i="0" u="none" strike="noStrike" baseline="0">
                    <a:solidFill>
                      <a:srgbClr val="000000"/>
                    </a:solidFill>
                    <a:latin typeface="宋体"/>
                    <a:ea typeface="宋体"/>
                    <a:cs typeface="宋体"/>
                  </a:defRPr>
                </a:pPr>
                <a:r>
                  <a:rPr lang="en-US" altLang="zh-CN"/>
                  <a:t>%</a:t>
                </a:r>
              </a:p>
            </c:rich>
          </c:tx>
          <c:layout>
            <c:manualLayout>
              <c:xMode val="edge"/>
              <c:yMode val="edge"/>
              <c:x val="0.88159771754636251"/>
              <c:y val="0.24922118380062758"/>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88958080"/>
        <c:crosses val="max"/>
        <c:crossBetween val="between"/>
      </c:valAx>
      <c:spPr>
        <a:noFill/>
        <a:ln w="25308">
          <a:noFill/>
        </a:ln>
      </c:spPr>
    </c:plotArea>
    <c:legend>
      <c:legendPos val="r"/>
      <c:layout>
        <c:manualLayout>
          <c:xMode val="edge"/>
          <c:yMode val="edge"/>
          <c:x val="0.58628749770844157"/>
          <c:y val="0.14795728120192164"/>
          <c:w val="0.38922337433545195"/>
          <c:h val="7.1651090342679136E-2"/>
        </c:manualLayout>
      </c:layout>
      <c:spPr>
        <a:solidFill>
          <a:srgbClr val="FFFFFF"/>
        </a:solidFill>
        <a:ln w="3164">
          <a:noFill/>
          <a:prstDash val="solid"/>
        </a:ln>
      </c:spPr>
      <c:txPr>
        <a:bodyPr/>
        <a:lstStyle/>
        <a:p>
          <a:pPr>
            <a:defRPr sz="100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6"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000000"/>
                </a:solidFill>
                <a:latin typeface="+mj-ea"/>
                <a:ea typeface="+mj-ea"/>
                <a:cs typeface="宋体"/>
              </a:defRPr>
            </a:pPr>
            <a:r>
              <a:rPr lang="zh-CN" altLang="en-US" sz="1400" b="0">
                <a:latin typeface="+mj-ea"/>
                <a:ea typeface="+mj-ea"/>
              </a:rPr>
              <a:t>图</a:t>
            </a:r>
            <a:r>
              <a:rPr lang="en-US" altLang="zh-CN" sz="1400" b="0">
                <a:latin typeface="+mj-ea"/>
                <a:ea typeface="+mj-ea"/>
              </a:rPr>
              <a:t>3</a:t>
            </a:r>
            <a:r>
              <a:rPr lang="en-US" altLang="zh-CN" sz="1400" b="0" baseline="0">
                <a:latin typeface="+mj-ea"/>
                <a:ea typeface="+mj-ea"/>
              </a:rPr>
              <a:t> </a:t>
            </a:r>
            <a:r>
              <a:rPr lang="en-US" altLang="zh-CN" sz="1400" b="0">
                <a:latin typeface="+mj-ea"/>
                <a:ea typeface="+mj-ea"/>
              </a:rPr>
              <a:t>2012-2017</a:t>
            </a:r>
            <a:r>
              <a:rPr lang="zh-CN" altLang="en-US" sz="1400" b="0">
                <a:latin typeface="+mj-ea"/>
                <a:ea typeface="+mj-ea"/>
              </a:rPr>
              <a:t>年人均地区生产总值及其增长速度</a:t>
            </a:r>
          </a:p>
        </c:rich>
      </c:tx>
      <c:layout>
        <c:manualLayout>
          <c:xMode val="edge"/>
          <c:yMode val="edge"/>
          <c:x val="0.17553090361149593"/>
          <c:y val="2.1806790280247231E-2"/>
        </c:manualLayout>
      </c:layout>
      <c:spPr>
        <a:noFill/>
        <a:ln w="25308">
          <a:noFill/>
        </a:ln>
      </c:spPr>
    </c:title>
    <c:plotArea>
      <c:layout>
        <c:manualLayout>
          <c:layoutTarget val="inner"/>
          <c:xMode val="edge"/>
          <c:yMode val="edge"/>
          <c:x val="0.11412268188302579"/>
          <c:y val="0.31464174454828664"/>
          <c:w val="0.78316690442223569"/>
          <c:h val="0.5981308411214955"/>
        </c:manualLayout>
      </c:layout>
      <c:barChart>
        <c:barDir val="col"/>
        <c:grouping val="clustered"/>
        <c:ser>
          <c:idx val="0"/>
          <c:order val="0"/>
          <c:tx>
            <c:strRef>
              <c:f>Sheet1!$A$2</c:f>
              <c:strCache>
                <c:ptCount val="1"/>
                <c:pt idx="0">
                  <c:v>地区生产总值</c:v>
                </c:pt>
              </c:strCache>
            </c:strRef>
          </c:tx>
          <c:spPr>
            <a:solidFill>
              <a:srgbClr val="92D050"/>
            </a:solidFill>
            <a:ln w="12654">
              <a:solidFill>
                <a:srgbClr val="000000"/>
              </a:solidFill>
              <a:prstDash val="solid"/>
            </a:ln>
          </c:spPr>
          <c:dLbls>
            <c:dLbl>
              <c:idx val="2"/>
              <c:layout>
                <c:manualLayout>
                  <c:x val="-2.2714366837024492E-3"/>
                  <c:y val="0.1016617790811349"/>
                </c:manualLayout>
              </c:layout>
              <c:dLblPos val="outEnd"/>
              <c:showVal val="1"/>
            </c:dLbl>
            <c:spPr>
              <a:noFill/>
              <a:ln w="25308">
                <a:noFill/>
              </a:ln>
            </c:spPr>
            <c:txPr>
              <a:bodyPr/>
              <a:lstStyle/>
              <a:p>
                <a:pPr>
                  <a:defRPr sz="797" b="0" i="0" u="none" strike="noStrike" baseline="0">
                    <a:solidFill>
                      <a:srgbClr val="000000"/>
                    </a:solidFill>
                    <a:latin typeface="宋体"/>
                    <a:ea typeface="宋体"/>
                    <a:cs typeface="宋体"/>
                  </a:defRPr>
                </a:pPr>
                <a:endParaRPr lang="zh-CN"/>
              </a:p>
            </c:txPr>
            <c:dLblPos val="outEnd"/>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24523</c:v>
                </c:pt>
                <c:pt idx="1">
                  <c:v>26836</c:v>
                </c:pt>
                <c:pt idx="2">
                  <c:v>29418</c:v>
                </c:pt>
                <c:pt idx="3">
                  <c:v>32032</c:v>
                </c:pt>
                <c:pt idx="4">
                  <c:v>34734</c:v>
                </c:pt>
                <c:pt idx="5">
                  <c:v>37614</c:v>
                </c:pt>
              </c:numCache>
            </c:numRef>
          </c:val>
        </c:ser>
        <c:axId val="108498304"/>
        <c:axId val="108579456"/>
      </c:barChart>
      <c:lineChart>
        <c:grouping val="standard"/>
        <c:ser>
          <c:idx val="1"/>
          <c:order val="1"/>
          <c:tx>
            <c:strRef>
              <c:f>Sheet1!$A$3</c:f>
              <c:strCache>
                <c:ptCount val="1"/>
                <c:pt idx="0">
                  <c:v>比上年增长</c:v>
                </c:pt>
              </c:strCache>
            </c:strRef>
          </c:tx>
          <c:spPr>
            <a:ln w="12654">
              <a:solidFill>
                <a:srgbClr val="FF00FF"/>
              </a:solidFill>
              <a:prstDash val="solid"/>
            </a:ln>
          </c:spPr>
          <c:marker>
            <c:symbol val="square"/>
            <c:size val="4"/>
            <c:spPr>
              <a:solidFill>
                <a:srgbClr val="FF00FF"/>
              </a:solidFill>
              <a:ln>
                <a:solidFill>
                  <a:srgbClr val="FF00FF"/>
                </a:solidFill>
                <a:prstDash val="solid"/>
              </a:ln>
            </c:spPr>
          </c:marker>
          <c:dLbls>
            <c:dLbl>
              <c:idx val="2"/>
              <c:layout>
                <c:manualLayout>
                  <c:x val="6.8143100511073263E-3"/>
                  <c:y val="3.9100684261974585E-3"/>
                </c:manualLayout>
              </c:layout>
              <c:dLblPos val="t"/>
              <c:showVal val="1"/>
            </c:dLbl>
            <c:dLbl>
              <c:idx val="3"/>
              <c:layout>
                <c:manualLayout>
                  <c:x val="-4.5428733674048923E-3"/>
                  <c:y val="8.6021505376344246E-2"/>
                </c:manualLayout>
              </c:layout>
              <c:dLblPos val="t"/>
              <c:showVal val="1"/>
            </c:dLbl>
            <c:spPr>
              <a:noFill/>
              <a:ln w="25308">
                <a:noFill/>
              </a:ln>
            </c:spPr>
            <c:txPr>
              <a:bodyPr/>
              <a:lstStyle/>
              <a:p>
                <a:pPr>
                  <a:defRPr sz="797" b="0" i="0" u="none" strike="noStrike" baseline="0">
                    <a:solidFill>
                      <a:srgbClr val="000000"/>
                    </a:solidFill>
                    <a:latin typeface="宋体"/>
                    <a:ea typeface="宋体"/>
                    <a:cs typeface="宋体"/>
                  </a:defRPr>
                </a:pPr>
                <a:endParaRPr lang="zh-CN"/>
              </a:p>
            </c:txPr>
            <c:dLblPos val="t"/>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10.1</c:v>
                </c:pt>
                <c:pt idx="1">
                  <c:v>12.4</c:v>
                </c:pt>
                <c:pt idx="2">
                  <c:v>11</c:v>
                </c:pt>
                <c:pt idx="3">
                  <c:v>9.7000000000000011</c:v>
                </c:pt>
                <c:pt idx="4">
                  <c:v>5.6</c:v>
                </c:pt>
                <c:pt idx="5">
                  <c:v>7.1</c:v>
                </c:pt>
              </c:numCache>
            </c:numRef>
          </c:val>
        </c:ser>
        <c:marker val="1"/>
        <c:axId val="119140352"/>
        <c:axId val="119143040"/>
      </c:lineChart>
      <c:catAx>
        <c:axId val="108498304"/>
        <c:scaling>
          <c:orientation val="minMax"/>
        </c:scaling>
        <c:axPos val="b"/>
        <c:title>
          <c:tx>
            <c:rich>
              <a:bodyPr/>
              <a:lstStyle/>
              <a:p>
                <a:pPr>
                  <a:defRPr sz="797" b="0" i="0" u="none" strike="noStrike" baseline="0">
                    <a:solidFill>
                      <a:srgbClr val="000000"/>
                    </a:solidFill>
                    <a:latin typeface="宋体"/>
                    <a:ea typeface="宋体"/>
                    <a:cs typeface="宋体"/>
                  </a:defRPr>
                </a:pPr>
                <a:r>
                  <a:rPr lang="zh-CN" altLang="en-US"/>
                  <a:t>年份</a:t>
                </a:r>
              </a:p>
            </c:rich>
          </c:tx>
          <c:layout>
            <c:manualLayout>
              <c:xMode val="edge"/>
              <c:yMode val="edge"/>
              <c:x val="0.87589158345221163"/>
              <c:y val="0.93769470404985555"/>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08579456"/>
        <c:crosses val="autoZero"/>
        <c:auto val="1"/>
        <c:lblAlgn val="ctr"/>
        <c:lblOffset val="100"/>
        <c:tickLblSkip val="1"/>
        <c:tickMarkSkip val="1"/>
      </c:catAx>
      <c:valAx>
        <c:axId val="108579456"/>
        <c:scaling>
          <c:orientation val="minMax"/>
          <c:min val="500"/>
        </c:scaling>
        <c:axPos val="l"/>
        <c:title>
          <c:tx>
            <c:rich>
              <a:bodyPr rot="0" vert="horz"/>
              <a:lstStyle/>
              <a:p>
                <a:pPr algn="ctr">
                  <a:defRPr sz="797" b="0" i="0" u="none" strike="noStrike" baseline="0">
                    <a:solidFill>
                      <a:srgbClr val="000000"/>
                    </a:solidFill>
                    <a:latin typeface="宋体"/>
                    <a:ea typeface="宋体"/>
                    <a:cs typeface="宋体"/>
                  </a:defRPr>
                </a:pPr>
                <a:r>
                  <a:rPr lang="zh-CN" altLang="en-US"/>
                  <a:t>万元</a:t>
                </a:r>
              </a:p>
            </c:rich>
          </c:tx>
          <c:layout>
            <c:manualLayout>
              <c:xMode val="edge"/>
              <c:yMode val="edge"/>
              <c:x val="8.701854493580595E-2"/>
              <c:y val="0.2367601246105919"/>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08498304"/>
        <c:crosses val="autoZero"/>
        <c:crossBetween val="between"/>
      </c:valAx>
      <c:catAx>
        <c:axId val="119140352"/>
        <c:scaling>
          <c:orientation val="minMax"/>
        </c:scaling>
        <c:delete val="1"/>
        <c:axPos val="b"/>
        <c:numFmt formatCode="General" sourceLinked="1"/>
        <c:tickLblPos val="nextTo"/>
        <c:crossAx val="119143040"/>
        <c:crosses val="autoZero"/>
        <c:auto val="1"/>
        <c:lblAlgn val="ctr"/>
        <c:lblOffset val="100"/>
      </c:catAx>
      <c:valAx>
        <c:axId val="119143040"/>
        <c:scaling>
          <c:orientation val="minMax"/>
        </c:scaling>
        <c:axPos val="r"/>
        <c:title>
          <c:tx>
            <c:rich>
              <a:bodyPr rot="0" vert="horz"/>
              <a:lstStyle/>
              <a:p>
                <a:pPr algn="ctr">
                  <a:defRPr sz="971" b="0" i="0" u="none" strike="noStrike" baseline="0">
                    <a:solidFill>
                      <a:srgbClr val="000000"/>
                    </a:solidFill>
                    <a:latin typeface="宋体"/>
                    <a:ea typeface="宋体"/>
                    <a:cs typeface="宋体"/>
                  </a:defRPr>
                </a:pPr>
                <a:r>
                  <a:rPr lang="en-US" altLang="zh-CN"/>
                  <a:t>%</a:t>
                </a:r>
              </a:p>
            </c:rich>
          </c:tx>
          <c:layout>
            <c:manualLayout>
              <c:xMode val="edge"/>
              <c:yMode val="edge"/>
              <c:x val="0.88159771754636251"/>
              <c:y val="0.24922118380062769"/>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19140352"/>
        <c:crosses val="max"/>
        <c:crossBetween val="between"/>
      </c:valAx>
      <c:spPr>
        <a:noFill/>
        <a:ln w="25308">
          <a:noFill/>
        </a:ln>
      </c:spPr>
    </c:plotArea>
    <c:legend>
      <c:legendPos val="r"/>
      <c:layout>
        <c:manualLayout>
          <c:xMode val="edge"/>
          <c:yMode val="edge"/>
          <c:x val="0.58628749770844157"/>
          <c:y val="0.14795728120192175"/>
          <c:w val="0.38922337433545218"/>
          <c:h val="7.1651090342679136E-2"/>
        </c:manualLayout>
      </c:layout>
      <c:spPr>
        <a:solidFill>
          <a:srgbClr val="FFFFFF"/>
        </a:solidFill>
        <a:ln w="3164">
          <a:noFill/>
          <a:prstDash val="solid"/>
        </a:ln>
      </c:spPr>
      <c:txPr>
        <a:bodyPr/>
        <a:lstStyle/>
        <a:p>
          <a:pPr>
            <a:defRPr sz="100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6"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a:latin typeface="+mj-ea"/>
                <a:ea typeface="+mj-ea"/>
              </a:defRPr>
            </a:pPr>
            <a:r>
              <a:rPr lang="zh-CN" altLang="en-US" sz="1400" b="0">
                <a:latin typeface="+mj-ea"/>
                <a:ea typeface="+mj-ea"/>
              </a:rPr>
              <a:t>图</a:t>
            </a:r>
            <a:r>
              <a:rPr lang="en-US" altLang="zh-CN" sz="1400" b="0">
                <a:latin typeface="+mj-ea"/>
                <a:ea typeface="+mj-ea"/>
              </a:rPr>
              <a:t>4 2017</a:t>
            </a:r>
            <a:r>
              <a:rPr lang="zh-CN" altLang="en-US" sz="1400" b="0">
                <a:latin typeface="+mj-ea"/>
                <a:ea typeface="+mj-ea"/>
              </a:rPr>
              <a:t>年蕉岭县</a:t>
            </a:r>
            <a:r>
              <a:rPr lang="zh-CN" sz="1400" b="0">
                <a:latin typeface="+mj-ea"/>
                <a:ea typeface="+mj-ea"/>
              </a:rPr>
              <a:t>财政收支</a:t>
            </a:r>
            <a:r>
              <a:rPr lang="zh-CN" altLang="en-US" sz="1400" b="0">
                <a:latin typeface="+mj-ea"/>
                <a:ea typeface="+mj-ea"/>
              </a:rPr>
              <a:t>累计增长速度</a:t>
            </a:r>
            <a:endParaRPr lang="zh-CN" sz="1400" b="0">
              <a:latin typeface="+mj-ea"/>
              <a:ea typeface="+mj-ea"/>
            </a:endParaRPr>
          </a:p>
        </c:rich>
      </c:tx>
    </c:title>
    <c:plotArea>
      <c:layout>
        <c:manualLayout>
          <c:layoutTarget val="inner"/>
          <c:xMode val="edge"/>
          <c:yMode val="edge"/>
          <c:x val="0.11062220700673329"/>
          <c:y val="0.17189419504380141"/>
          <c:w val="0.85923286545703526"/>
          <c:h val="0.5131806251491291"/>
        </c:manualLayout>
      </c:layout>
      <c:lineChart>
        <c:grouping val="standard"/>
        <c:ser>
          <c:idx val="0"/>
          <c:order val="0"/>
          <c:tx>
            <c:strRef>
              <c:f>Sheet1!$B$1</c:f>
              <c:strCache>
                <c:ptCount val="1"/>
                <c:pt idx="0">
                  <c:v>财政收入累计增长速度（%）</c:v>
                </c:pt>
              </c:strCache>
            </c:strRef>
          </c:tx>
          <c:cat>
            <c:strRef>
              <c:f>Sheet1!$A$2:$A$14</c:f>
              <c:strCache>
                <c:ptCount val="12"/>
                <c:pt idx="0">
                  <c:v>17月1月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Sheet1!$B$2:$B$14</c:f>
              <c:numCache>
                <c:formatCode>General</c:formatCode>
                <c:ptCount val="12"/>
                <c:pt idx="0">
                  <c:v>13.450000000000006</c:v>
                </c:pt>
                <c:pt idx="1">
                  <c:v>12.41</c:v>
                </c:pt>
                <c:pt idx="2">
                  <c:v>12.83</c:v>
                </c:pt>
                <c:pt idx="3">
                  <c:v>11.79</c:v>
                </c:pt>
                <c:pt idx="4">
                  <c:v>15.27</c:v>
                </c:pt>
                <c:pt idx="5">
                  <c:v>24.279999999999987</c:v>
                </c:pt>
                <c:pt idx="6">
                  <c:v>22.610000000000031</c:v>
                </c:pt>
                <c:pt idx="7">
                  <c:v>26.150000000000031</c:v>
                </c:pt>
                <c:pt idx="8">
                  <c:v>34.849999999999994</c:v>
                </c:pt>
                <c:pt idx="9">
                  <c:v>24.69</c:v>
                </c:pt>
                <c:pt idx="10">
                  <c:v>21.86</c:v>
                </c:pt>
                <c:pt idx="11">
                  <c:v>10.040000000000001</c:v>
                </c:pt>
              </c:numCache>
            </c:numRef>
          </c:val>
        </c:ser>
        <c:ser>
          <c:idx val="1"/>
          <c:order val="1"/>
          <c:tx>
            <c:strRef>
              <c:f>Sheet1!$C$1</c:f>
              <c:strCache>
                <c:ptCount val="1"/>
                <c:pt idx="0">
                  <c:v>财政支出累计增长速度（%）</c:v>
                </c:pt>
              </c:strCache>
            </c:strRef>
          </c:tx>
          <c:cat>
            <c:strRef>
              <c:f>Sheet1!$A$2:$A$14</c:f>
              <c:strCache>
                <c:ptCount val="12"/>
                <c:pt idx="0">
                  <c:v>17月1月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Sheet1!$C$2:$C$14</c:f>
              <c:numCache>
                <c:formatCode>General</c:formatCode>
                <c:ptCount val="12"/>
                <c:pt idx="0">
                  <c:v>21.29</c:v>
                </c:pt>
                <c:pt idx="1">
                  <c:v>4.04</c:v>
                </c:pt>
                <c:pt idx="2">
                  <c:v>20.610000000000031</c:v>
                </c:pt>
                <c:pt idx="3">
                  <c:v>12.25</c:v>
                </c:pt>
                <c:pt idx="4">
                  <c:v>14.77</c:v>
                </c:pt>
                <c:pt idx="5">
                  <c:v>9.67</c:v>
                </c:pt>
                <c:pt idx="6">
                  <c:v>15.81</c:v>
                </c:pt>
                <c:pt idx="7">
                  <c:v>17</c:v>
                </c:pt>
                <c:pt idx="8">
                  <c:v>13.42</c:v>
                </c:pt>
                <c:pt idx="9">
                  <c:v>14.31</c:v>
                </c:pt>
                <c:pt idx="10">
                  <c:v>19.07</c:v>
                </c:pt>
                <c:pt idx="11">
                  <c:v>7.05</c:v>
                </c:pt>
              </c:numCache>
            </c:numRef>
          </c:val>
        </c:ser>
        <c:marker val="1"/>
        <c:axId val="123934976"/>
        <c:axId val="124388480"/>
      </c:lineChart>
      <c:catAx>
        <c:axId val="123934976"/>
        <c:scaling>
          <c:orientation val="minMax"/>
        </c:scaling>
        <c:axPos val="b"/>
        <c:majorTickMark val="in"/>
        <c:tickLblPos val="low"/>
        <c:crossAx val="124388480"/>
        <c:crosses val="autoZero"/>
        <c:auto val="1"/>
        <c:lblAlgn val="ctr"/>
        <c:lblOffset val="100"/>
      </c:catAx>
      <c:valAx>
        <c:axId val="124388480"/>
        <c:scaling>
          <c:orientation val="minMax"/>
        </c:scaling>
        <c:axPos val="l"/>
        <c:title>
          <c:tx>
            <c:rich>
              <a:bodyPr rot="0" vert="horz"/>
              <a:lstStyle/>
              <a:p>
                <a:pPr>
                  <a:defRPr/>
                </a:pPr>
                <a:r>
                  <a:rPr lang="en-US" altLang="zh-CN"/>
                  <a:t>%</a:t>
                </a:r>
                <a:endParaRPr lang="zh-CN" altLang="en-US"/>
              </a:p>
            </c:rich>
          </c:tx>
          <c:layout>
            <c:manualLayout>
              <c:xMode val="edge"/>
              <c:yMode val="edge"/>
              <c:x val="5.3333333333334107E-2"/>
              <c:y val="6.6568837986160811E-2"/>
            </c:manualLayout>
          </c:layout>
        </c:title>
        <c:numFmt formatCode="General" sourceLinked="1"/>
        <c:majorTickMark val="in"/>
        <c:tickLblPos val="nextTo"/>
        <c:crossAx val="123934976"/>
        <c:crosses val="autoZero"/>
        <c:crossBetween val="between"/>
      </c:valAx>
      <c:spPr>
        <a:noFill/>
        <a:ln>
          <a:noFill/>
        </a:ln>
      </c:spPr>
    </c:plotArea>
    <c:legend>
      <c:legendPos val="b"/>
    </c:legend>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000000"/>
                </a:solidFill>
                <a:latin typeface="+mj-ea"/>
                <a:ea typeface="+mj-ea"/>
                <a:cs typeface="宋体"/>
              </a:defRPr>
            </a:pPr>
            <a:r>
              <a:rPr lang="zh-CN" altLang="en-US" sz="1400" b="0">
                <a:latin typeface="+mj-ea"/>
                <a:ea typeface="+mj-ea"/>
              </a:rPr>
              <a:t>图</a:t>
            </a:r>
            <a:r>
              <a:rPr lang="en-US" altLang="zh-CN" sz="1400" b="0">
                <a:latin typeface="+mj-ea"/>
                <a:ea typeface="+mj-ea"/>
              </a:rPr>
              <a:t>5</a:t>
            </a:r>
            <a:r>
              <a:rPr lang="en-US" altLang="zh-CN" sz="1400" b="0" baseline="0">
                <a:latin typeface="+mj-ea"/>
                <a:ea typeface="+mj-ea"/>
              </a:rPr>
              <a:t> </a:t>
            </a:r>
            <a:r>
              <a:rPr lang="en-US" altLang="zh-CN" sz="1400" b="0">
                <a:latin typeface="+mj-ea"/>
                <a:ea typeface="+mj-ea"/>
              </a:rPr>
              <a:t>2012-2017</a:t>
            </a:r>
            <a:r>
              <a:rPr lang="zh-CN" altLang="en-US" sz="1400" b="0">
                <a:latin typeface="+mj-ea"/>
                <a:ea typeface="+mj-ea"/>
              </a:rPr>
              <a:t>年蕉岭县一般公共预算收入</a:t>
            </a:r>
          </a:p>
        </c:rich>
      </c:tx>
      <c:layout>
        <c:manualLayout>
          <c:xMode val="edge"/>
          <c:yMode val="edge"/>
          <c:x val="0.17553090361149579"/>
          <c:y val="2.1806790280247231E-2"/>
        </c:manualLayout>
      </c:layout>
      <c:spPr>
        <a:noFill/>
        <a:ln w="25308">
          <a:noFill/>
        </a:ln>
      </c:spPr>
    </c:title>
    <c:plotArea>
      <c:layout>
        <c:manualLayout>
          <c:layoutTarget val="inner"/>
          <c:xMode val="edge"/>
          <c:yMode val="edge"/>
          <c:x val="0.11412268188302579"/>
          <c:y val="0.31464174454828664"/>
          <c:w val="0.78316690442223535"/>
          <c:h val="0.5981308411214955"/>
        </c:manualLayout>
      </c:layout>
      <c:barChart>
        <c:barDir val="col"/>
        <c:grouping val="clustered"/>
        <c:ser>
          <c:idx val="0"/>
          <c:order val="0"/>
          <c:tx>
            <c:strRef>
              <c:f>Sheet1!$A$2</c:f>
              <c:strCache>
                <c:ptCount val="1"/>
                <c:pt idx="0">
                  <c:v>一般公共预算收入</c:v>
                </c:pt>
              </c:strCache>
            </c:strRef>
          </c:tx>
          <c:spPr>
            <a:solidFill>
              <a:srgbClr val="FF0000"/>
            </a:solidFill>
            <a:ln w="12654">
              <a:solidFill>
                <a:srgbClr val="000000"/>
              </a:solidFill>
              <a:prstDash val="solid"/>
            </a:ln>
          </c:spPr>
          <c:dLbls>
            <c:dLbl>
              <c:idx val="2"/>
              <c:layout>
                <c:manualLayout>
                  <c:x val="4.5428733674048923E-3"/>
                  <c:y val="-3.9100684261973865E-3"/>
                </c:manualLayout>
              </c:layout>
              <c:dLblPos val="outEnd"/>
              <c:showVal val="1"/>
            </c:dLbl>
            <c:spPr>
              <a:noFill/>
              <a:ln w="25308">
                <a:noFill/>
              </a:ln>
            </c:spPr>
            <c:txPr>
              <a:bodyPr/>
              <a:lstStyle/>
              <a:p>
                <a:pPr>
                  <a:defRPr sz="797" b="0" i="0" u="none" strike="noStrike" baseline="0">
                    <a:solidFill>
                      <a:srgbClr val="000000"/>
                    </a:solidFill>
                    <a:latin typeface="宋体"/>
                    <a:ea typeface="宋体"/>
                    <a:cs typeface="宋体"/>
                  </a:defRPr>
                </a:pPr>
                <a:endParaRPr lang="zh-CN"/>
              </a:p>
            </c:txPr>
            <c:dLblPos val="outEnd"/>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35152</c:v>
                </c:pt>
                <c:pt idx="1">
                  <c:v>45302</c:v>
                </c:pt>
                <c:pt idx="2">
                  <c:v>58304</c:v>
                </c:pt>
                <c:pt idx="3">
                  <c:v>70600</c:v>
                </c:pt>
                <c:pt idx="4">
                  <c:v>79950</c:v>
                </c:pt>
                <c:pt idx="5">
                  <c:v>87978</c:v>
                </c:pt>
              </c:numCache>
            </c:numRef>
          </c:val>
        </c:ser>
        <c:axId val="119386496"/>
        <c:axId val="119388416"/>
      </c:barChart>
      <c:catAx>
        <c:axId val="119386496"/>
        <c:scaling>
          <c:orientation val="minMax"/>
        </c:scaling>
        <c:axPos val="b"/>
        <c:title>
          <c:tx>
            <c:rich>
              <a:bodyPr/>
              <a:lstStyle/>
              <a:p>
                <a:pPr>
                  <a:defRPr sz="797" b="0" i="0" u="none" strike="noStrike" baseline="0">
                    <a:solidFill>
                      <a:srgbClr val="000000"/>
                    </a:solidFill>
                    <a:latin typeface="宋体"/>
                    <a:ea typeface="宋体"/>
                    <a:cs typeface="宋体"/>
                  </a:defRPr>
                </a:pPr>
                <a:r>
                  <a:rPr lang="zh-CN" altLang="en-US"/>
                  <a:t>年份</a:t>
                </a:r>
              </a:p>
            </c:rich>
          </c:tx>
          <c:layout>
            <c:manualLayout>
              <c:xMode val="edge"/>
              <c:yMode val="edge"/>
              <c:x val="0.87589158345221163"/>
              <c:y val="0.93769470404985578"/>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19388416"/>
        <c:crosses val="autoZero"/>
        <c:auto val="1"/>
        <c:lblAlgn val="ctr"/>
        <c:lblOffset val="100"/>
        <c:tickLblSkip val="1"/>
        <c:tickMarkSkip val="1"/>
      </c:catAx>
      <c:valAx>
        <c:axId val="119388416"/>
        <c:scaling>
          <c:orientation val="minMax"/>
          <c:min val="500"/>
        </c:scaling>
        <c:axPos val="l"/>
        <c:title>
          <c:tx>
            <c:rich>
              <a:bodyPr rot="0" vert="horz"/>
              <a:lstStyle/>
              <a:p>
                <a:pPr algn="ctr">
                  <a:defRPr sz="797" b="0" i="0" u="none" strike="noStrike" baseline="0">
                    <a:solidFill>
                      <a:srgbClr val="000000"/>
                    </a:solidFill>
                    <a:latin typeface="宋体"/>
                    <a:ea typeface="宋体"/>
                    <a:cs typeface="宋体"/>
                  </a:defRPr>
                </a:pPr>
                <a:r>
                  <a:rPr lang="zh-CN" altLang="en-US"/>
                  <a:t>万元</a:t>
                </a:r>
              </a:p>
            </c:rich>
          </c:tx>
          <c:layout>
            <c:manualLayout>
              <c:xMode val="edge"/>
              <c:yMode val="edge"/>
              <c:x val="8.701854493580595E-2"/>
              <c:y val="0.2367601246105919"/>
            </c:manualLayout>
          </c:layout>
          <c:spPr>
            <a:noFill/>
            <a:ln w="25308">
              <a:noFill/>
            </a:ln>
          </c:spPr>
        </c:title>
        <c:numFmt formatCode="General" sourceLinked="1"/>
        <c:majorTickMark val="in"/>
        <c:tickLblPos val="nextTo"/>
        <c:spPr>
          <a:ln w="3164">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19386496"/>
        <c:crosses val="autoZero"/>
        <c:crossBetween val="between"/>
      </c:valAx>
      <c:spPr>
        <a:noFill/>
        <a:ln w="25308">
          <a:noFill/>
        </a:ln>
      </c:spPr>
    </c:plotArea>
    <c:legend>
      <c:legendPos val="r"/>
      <c:layout>
        <c:manualLayout>
          <c:xMode val="edge"/>
          <c:yMode val="edge"/>
          <c:x val="0.58628749770844157"/>
          <c:y val="0.14795728120192186"/>
          <c:w val="0.38922337433545245"/>
          <c:h val="7.1651090342679136E-2"/>
        </c:manualLayout>
      </c:layout>
      <c:spPr>
        <a:solidFill>
          <a:srgbClr val="FFFFFF"/>
        </a:solidFill>
        <a:ln w="3164">
          <a:noFill/>
          <a:prstDash val="solid"/>
        </a:ln>
      </c:spPr>
      <c:txPr>
        <a:bodyPr/>
        <a:lstStyle/>
        <a:p>
          <a:pPr>
            <a:defRPr sz="1000"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6"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lgn="ctr">
              <a:defRPr sz="1200" b="0" i="0" u="none" strike="noStrike" baseline="0">
                <a:solidFill>
                  <a:srgbClr val="000000"/>
                </a:solidFill>
                <a:latin typeface="+mj-ea"/>
                <a:ea typeface="+mj-ea"/>
                <a:cs typeface="宋体"/>
              </a:defRPr>
            </a:pPr>
            <a:r>
              <a:rPr lang="zh-CN" altLang="en-US" sz="1200">
                <a:latin typeface="+mj-ea"/>
                <a:ea typeface="+mj-ea"/>
              </a:rPr>
              <a:t>图</a:t>
            </a:r>
            <a:r>
              <a:rPr lang="en-US" altLang="zh-CN" sz="1200">
                <a:latin typeface="+mj-ea"/>
                <a:ea typeface="+mj-ea"/>
              </a:rPr>
              <a:t>6</a:t>
            </a:r>
            <a:r>
              <a:rPr lang="en-US" altLang="zh-CN" sz="1200" baseline="0">
                <a:latin typeface="+mj-ea"/>
                <a:ea typeface="+mj-ea"/>
              </a:rPr>
              <a:t> </a:t>
            </a:r>
            <a:r>
              <a:rPr lang="en-US" altLang="zh-CN" sz="1200">
                <a:latin typeface="+mj-ea"/>
                <a:ea typeface="+mj-ea"/>
              </a:rPr>
              <a:t>2012-2017</a:t>
            </a:r>
            <a:r>
              <a:rPr lang="zh-CN" altLang="en-US" sz="1200">
                <a:latin typeface="+mj-ea"/>
                <a:ea typeface="+mj-ea"/>
              </a:rPr>
              <a:t>年蕉岭县粮食产量及其增长速度</a:t>
            </a:r>
          </a:p>
        </c:rich>
      </c:tx>
      <c:layout>
        <c:manualLayout>
          <c:xMode val="edge"/>
          <c:yMode val="edge"/>
          <c:x val="0.25443772100834661"/>
          <c:y val="7.7485597319203832E-4"/>
        </c:manualLayout>
      </c:layout>
      <c:spPr>
        <a:noFill/>
        <a:ln w="25330">
          <a:noFill/>
        </a:ln>
      </c:spPr>
    </c:title>
    <c:plotArea>
      <c:layout>
        <c:manualLayout>
          <c:layoutTarget val="inner"/>
          <c:xMode val="edge"/>
          <c:yMode val="edge"/>
          <c:x val="7.9876277523187433E-2"/>
          <c:y val="0.1825618226293142"/>
          <c:w val="0.86139201530599363"/>
          <c:h val="0.70417336508202388"/>
        </c:manualLayout>
      </c:layout>
      <c:barChart>
        <c:barDir val="col"/>
        <c:grouping val="clustered"/>
        <c:ser>
          <c:idx val="0"/>
          <c:order val="0"/>
          <c:tx>
            <c:strRef>
              <c:f>Sheet1!$A$2</c:f>
              <c:strCache>
                <c:ptCount val="1"/>
                <c:pt idx="0">
                  <c:v>粮食产量</c:v>
                </c:pt>
              </c:strCache>
            </c:strRef>
          </c:tx>
          <c:spPr>
            <a:solidFill>
              <a:srgbClr val="92D050"/>
            </a:solidFill>
            <a:ln w="12665">
              <a:solidFill>
                <a:srgbClr val="000000"/>
              </a:solidFill>
              <a:prstDash val="solid"/>
            </a:ln>
          </c:spPr>
          <c:dLbls>
            <c:spPr>
              <a:noFill/>
              <a:ln w="25330">
                <a:noFill/>
              </a:ln>
            </c:spPr>
            <c:txPr>
              <a:bodyPr/>
              <a:lstStyle/>
              <a:p>
                <a:pPr>
                  <a:defRPr sz="798"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66045</c:v>
                </c:pt>
                <c:pt idx="1">
                  <c:v>63506</c:v>
                </c:pt>
                <c:pt idx="2">
                  <c:v>63994</c:v>
                </c:pt>
                <c:pt idx="3">
                  <c:v>64496</c:v>
                </c:pt>
                <c:pt idx="4">
                  <c:v>64387</c:v>
                </c:pt>
                <c:pt idx="5">
                  <c:v>65206</c:v>
                </c:pt>
              </c:numCache>
            </c:numRef>
          </c:val>
        </c:ser>
        <c:axId val="120550528"/>
        <c:axId val="120552448"/>
      </c:barChart>
      <c:lineChart>
        <c:grouping val="standard"/>
        <c:ser>
          <c:idx val="1"/>
          <c:order val="1"/>
          <c:tx>
            <c:strRef>
              <c:f>Sheet1!$A$3</c:f>
              <c:strCache>
                <c:ptCount val="1"/>
                <c:pt idx="0">
                  <c:v>比上年增长</c:v>
                </c:pt>
              </c:strCache>
            </c:strRef>
          </c:tx>
          <c:spPr>
            <a:ln w="15875"/>
          </c:spPr>
          <c:dLbls>
            <c:dLbl>
              <c:idx val="2"/>
              <c:layout>
                <c:manualLayout>
                  <c:x val="-4.0728831725616504E-2"/>
                  <c:y val="-5.8700209643605894E-2"/>
                </c:manualLayout>
              </c:layout>
              <c:showVal val="1"/>
            </c:dLbl>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0.60000000000000064</c:v>
                </c:pt>
                <c:pt idx="1">
                  <c:v>-3.7</c:v>
                </c:pt>
                <c:pt idx="2">
                  <c:v>0.70000000000000062</c:v>
                </c:pt>
                <c:pt idx="3">
                  <c:v>0.8</c:v>
                </c:pt>
                <c:pt idx="4">
                  <c:v>-0.1</c:v>
                </c:pt>
                <c:pt idx="5">
                  <c:v>1.3</c:v>
                </c:pt>
              </c:numCache>
            </c:numRef>
          </c:val>
        </c:ser>
        <c:marker val="1"/>
        <c:axId val="120564736"/>
        <c:axId val="120562816"/>
      </c:lineChart>
      <c:catAx>
        <c:axId val="120550528"/>
        <c:scaling>
          <c:orientation val="minMax"/>
        </c:scaling>
        <c:axPos val="b"/>
        <c:title>
          <c:tx>
            <c:rich>
              <a:bodyPr/>
              <a:lstStyle/>
              <a:p>
                <a:pPr>
                  <a:defRPr sz="798" b="0" i="0" u="none" strike="noStrike" baseline="0">
                    <a:solidFill>
                      <a:srgbClr val="000000"/>
                    </a:solidFill>
                    <a:latin typeface="宋体"/>
                    <a:ea typeface="宋体"/>
                    <a:cs typeface="宋体"/>
                  </a:defRPr>
                </a:pPr>
                <a:r>
                  <a:rPr lang="zh-CN" altLang="en-US"/>
                  <a:t>年份</a:t>
                </a:r>
              </a:p>
            </c:rich>
          </c:tx>
          <c:layout>
            <c:manualLayout>
              <c:xMode val="edge"/>
              <c:yMode val="edge"/>
              <c:x val="0.89425587467363465"/>
              <c:y val="0.93788819875775242"/>
            </c:manualLayout>
          </c:layout>
          <c:spPr>
            <a:noFill/>
            <a:ln w="25330">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0552448"/>
        <c:crosses val="autoZero"/>
        <c:auto val="1"/>
        <c:lblAlgn val="ctr"/>
        <c:lblOffset val="100"/>
        <c:tickLblSkip val="1"/>
        <c:tickMarkSkip val="1"/>
      </c:catAx>
      <c:valAx>
        <c:axId val="120552448"/>
        <c:scaling>
          <c:orientation val="minMax"/>
        </c:scaling>
        <c:axPos val="l"/>
        <c:title>
          <c:tx>
            <c:rich>
              <a:bodyPr rot="0" vert="horz"/>
              <a:lstStyle/>
              <a:p>
                <a:pPr algn="ctr">
                  <a:defRPr sz="997" b="0" i="0" u="none" strike="noStrike" baseline="0">
                    <a:solidFill>
                      <a:srgbClr val="000000"/>
                    </a:solidFill>
                    <a:latin typeface="宋体"/>
                    <a:ea typeface="宋体"/>
                    <a:cs typeface="宋体"/>
                  </a:defRPr>
                </a:pPr>
                <a:r>
                  <a:rPr lang="zh-CN" altLang="en-US"/>
                  <a:t>吨</a:t>
                </a:r>
              </a:p>
            </c:rich>
          </c:tx>
          <c:layout>
            <c:manualLayout>
              <c:xMode val="edge"/>
              <c:yMode val="edge"/>
              <c:x val="6.7445070009060096E-2"/>
              <c:y val="4.4986785483370019E-2"/>
            </c:manualLayout>
          </c:layout>
          <c:spPr>
            <a:noFill/>
            <a:ln w="25330">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0550528"/>
        <c:crosses val="autoZero"/>
        <c:crossBetween val="between"/>
        <c:majorUnit val="1000"/>
        <c:minorUnit val="500"/>
      </c:valAx>
      <c:valAx>
        <c:axId val="120562816"/>
        <c:scaling>
          <c:orientation val="minMax"/>
        </c:scaling>
        <c:axPos val="r"/>
        <c:title>
          <c:tx>
            <c:rich>
              <a:bodyPr rot="0" vert="horz"/>
              <a:lstStyle/>
              <a:p>
                <a:pPr>
                  <a:defRPr/>
                </a:pPr>
                <a:r>
                  <a:rPr lang="en-US" altLang="zh-CN"/>
                  <a:t>%</a:t>
                </a:r>
                <a:endParaRPr lang="zh-CN" altLang="en-US"/>
              </a:p>
            </c:rich>
          </c:tx>
          <c:layout>
            <c:manualLayout>
              <c:xMode val="edge"/>
              <c:yMode val="edge"/>
              <c:x val="0.94429804795300964"/>
              <c:y val="8.8934240362813027E-2"/>
            </c:manualLayout>
          </c:layout>
        </c:title>
        <c:numFmt formatCode="General" sourceLinked="1"/>
        <c:tickLblPos val="nextTo"/>
        <c:crossAx val="120564736"/>
        <c:crosses val="max"/>
        <c:crossBetween val="between"/>
      </c:valAx>
      <c:catAx>
        <c:axId val="120564736"/>
        <c:scaling>
          <c:orientation val="minMax"/>
        </c:scaling>
        <c:delete val="1"/>
        <c:axPos val="b"/>
        <c:numFmt formatCode="General" sourceLinked="1"/>
        <c:tickLblPos val="nextTo"/>
        <c:crossAx val="120562816"/>
        <c:crosses val="autoZero"/>
        <c:auto val="1"/>
        <c:lblAlgn val="ctr"/>
        <c:lblOffset val="100"/>
      </c:catAx>
      <c:spPr>
        <a:noFill/>
        <a:ln w="25330">
          <a:noFill/>
        </a:ln>
      </c:spPr>
    </c:plotArea>
    <c:legend>
      <c:legendPos val="t"/>
      <c:layout>
        <c:manualLayout>
          <c:xMode val="edge"/>
          <c:yMode val="edge"/>
          <c:x val="0.49477378028711211"/>
          <c:y val="0.13945492662473788"/>
          <c:w val="0.4005916061135445"/>
          <c:h val="7.4844087885241384E-2"/>
        </c:manualLayout>
      </c:layout>
    </c:legend>
    <c:plotVisOnly val="1"/>
    <c:dispBlanksAs val="gap"/>
  </c:chart>
  <c:spPr>
    <a:noFill/>
    <a:ln>
      <a:noFill/>
    </a:ln>
  </c:spPr>
  <c:txPr>
    <a:bodyPr/>
    <a:lstStyle/>
    <a:p>
      <a:pPr>
        <a:defRPr sz="1197"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a:t>图</a:t>
            </a:r>
            <a:r>
              <a:rPr lang="en-US" altLang="zh-CN" sz="1200"/>
              <a:t>7  2012-2017</a:t>
            </a:r>
            <a:r>
              <a:rPr lang="zh-CN" altLang="en-US" sz="1200"/>
              <a:t>年全县工业增加值及其增长速度</a:t>
            </a:r>
          </a:p>
        </c:rich>
      </c:tx>
      <c:layout>
        <c:manualLayout>
          <c:xMode val="edge"/>
          <c:yMode val="edge"/>
          <c:x val="0.19312437887011688"/>
          <c:y val="1.6869905650283026E-2"/>
        </c:manualLayout>
      </c:layout>
      <c:spPr>
        <a:noFill/>
        <a:ln w="25301">
          <a:noFill/>
        </a:ln>
      </c:spPr>
    </c:title>
    <c:plotArea>
      <c:layout>
        <c:manualLayout>
          <c:layoutTarget val="inner"/>
          <c:xMode val="edge"/>
          <c:yMode val="edge"/>
          <c:x val="0.10512483574244416"/>
          <c:y val="0.17064977578909649"/>
          <c:w val="0.77398160315376341"/>
          <c:h val="0.70810394088191908"/>
        </c:manualLayout>
      </c:layout>
      <c:barChart>
        <c:barDir val="col"/>
        <c:grouping val="clustered"/>
        <c:ser>
          <c:idx val="0"/>
          <c:order val="0"/>
          <c:tx>
            <c:strRef>
              <c:f>Sheet1!$A$2</c:f>
              <c:strCache>
                <c:ptCount val="1"/>
                <c:pt idx="0">
                  <c:v>工业增加值</c:v>
                </c:pt>
              </c:strCache>
            </c:strRef>
          </c:tx>
          <c:spPr>
            <a:solidFill>
              <a:srgbClr val="FFC000"/>
            </a:solidFill>
            <a:ln w="12650">
              <a:solidFill>
                <a:srgbClr val="000000"/>
              </a:solidFill>
              <a:prstDash val="solid"/>
            </a:ln>
          </c:spPr>
          <c:dLbls>
            <c:spPr>
              <a:noFill/>
              <a:ln w="25301">
                <a:noFill/>
              </a:ln>
            </c:spPr>
            <c:txPr>
              <a:bodyPr/>
              <a:lstStyle/>
              <a:p>
                <a:pPr>
                  <a:defRPr sz="797" b="0" i="0" u="none" strike="noStrike" baseline="0">
                    <a:solidFill>
                      <a:srgbClr val="000000"/>
                    </a:solidFill>
                    <a:latin typeface="宋体"/>
                    <a:ea typeface="宋体"/>
                    <a:cs typeface="宋体"/>
                  </a:defRPr>
                </a:pPr>
                <a:endParaRPr lang="zh-CN"/>
              </a:p>
            </c:txPr>
            <c:dLblPos val="outEnd"/>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159394</c:v>
                </c:pt>
                <c:pt idx="1">
                  <c:v>165757</c:v>
                </c:pt>
                <c:pt idx="2">
                  <c:v>177265</c:v>
                </c:pt>
                <c:pt idx="3">
                  <c:v>180226</c:v>
                </c:pt>
                <c:pt idx="4">
                  <c:v>192661</c:v>
                </c:pt>
                <c:pt idx="5">
                  <c:v>196562</c:v>
                </c:pt>
              </c:numCache>
            </c:numRef>
          </c:val>
        </c:ser>
        <c:axId val="120575488"/>
        <c:axId val="120577408"/>
      </c:barChart>
      <c:lineChart>
        <c:grouping val="standard"/>
        <c:ser>
          <c:idx val="1"/>
          <c:order val="1"/>
          <c:tx>
            <c:strRef>
              <c:f>Sheet1!$A$3</c:f>
              <c:strCache>
                <c:ptCount val="1"/>
                <c:pt idx="0">
                  <c:v>比上年增长</c:v>
                </c:pt>
              </c:strCache>
            </c:strRef>
          </c:tx>
          <c:spPr>
            <a:ln w="12650">
              <a:solidFill>
                <a:srgbClr val="FF00FF"/>
              </a:solidFill>
              <a:prstDash val="solid"/>
            </a:ln>
          </c:spPr>
          <c:marker>
            <c:symbol val="square"/>
            <c:size val="4"/>
            <c:spPr>
              <a:solidFill>
                <a:srgbClr val="FF00FF"/>
              </a:solidFill>
              <a:ln>
                <a:solidFill>
                  <a:srgbClr val="FF00FF"/>
                </a:solidFill>
                <a:prstDash val="solid"/>
              </a:ln>
            </c:spPr>
          </c:marker>
          <c:dLbls>
            <c:spPr>
              <a:noFill/>
              <a:ln w="25301">
                <a:noFill/>
              </a:ln>
            </c:spPr>
            <c:txPr>
              <a:bodyPr/>
              <a:lstStyle/>
              <a:p>
                <a:pPr>
                  <a:defRPr sz="797"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13.8</c:v>
                </c:pt>
                <c:pt idx="1">
                  <c:v>15.8</c:v>
                </c:pt>
                <c:pt idx="2">
                  <c:v>14.1</c:v>
                </c:pt>
                <c:pt idx="3">
                  <c:v>12.2</c:v>
                </c:pt>
                <c:pt idx="4">
                  <c:v>8.1</c:v>
                </c:pt>
                <c:pt idx="5">
                  <c:v>5.9</c:v>
                </c:pt>
              </c:numCache>
            </c:numRef>
          </c:val>
        </c:ser>
        <c:marker val="1"/>
        <c:axId val="120583680"/>
        <c:axId val="120585216"/>
      </c:lineChart>
      <c:catAx>
        <c:axId val="120575488"/>
        <c:scaling>
          <c:orientation val="minMax"/>
        </c:scaling>
        <c:axPos val="b"/>
        <c:title>
          <c:tx>
            <c:rich>
              <a:bodyPr/>
              <a:lstStyle/>
              <a:p>
                <a:pPr>
                  <a:defRPr sz="797" b="0" i="0" u="none" strike="noStrike" baseline="0">
                    <a:solidFill>
                      <a:srgbClr val="000000"/>
                    </a:solidFill>
                    <a:latin typeface="宋体"/>
                    <a:ea typeface="宋体"/>
                    <a:cs typeface="宋体"/>
                  </a:defRPr>
                </a:pPr>
                <a:r>
                  <a:rPr lang="zh-CN" altLang="en-US"/>
                  <a:t>年份</a:t>
                </a:r>
              </a:p>
            </c:rich>
          </c:tx>
          <c:layout>
            <c:manualLayout>
              <c:xMode val="edge"/>
              <c:yMode val="edge"/>
              <c:x val="0.85939553219450526"/>
              <c:y val="0.93769470404985578"/>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20577408"/>
        <c:crosses val="autoZero"/>
        <c:auto val="1"/>
        <c:lblAlgn val="ctr"/>
        <c:lblOffset val="100"/>
        <c:tickLblSkip val="1"/>
        <c:tickMarkSkip val="1"/>
      </c:catAx>
      <c:valAx>
        <c:axId val="120577408"/>
        <c:scaling>
          <c:orientation val="minMax"/>
        </c:scaling>
        <c:axPos val="l"/>
        <c:title>
          <c:tx>
            <c:rich>
              <a:bodyPr rot="0" vert="horz"/>
              <a:lstStyle/>
              <a:p>
                <a:pPr algn="ctr">
                  <a:defRPr sz="797" b="0" i="0" u="none" strike="noStrike" baseline="0">
                    <a:solidFill>
                      <a:srgbClr val="000000"/>
                    </a:solidFill>
                    <a:latin typeface="宋体"/>
                    <a:ea typeface="宋体"/>
                    <a:cs typeface="宋体"/>
                  </a:defRPr>
                </a:pPr>
                <a:r>
                  <a:rPr lang="zh-CN" altLang="en-US"/>
                  <a:t>万元</a:t>
                </a:r>
              </a:p>
            </c:rich>
          </c:tx>
          <c:layout>
            <c:manualLayout>
              <c:xMode val="edge"/>
              <c:yMode val="edge"/>
              <c:x val="7.1625512830313681E-2"/>
              <c:y val="5.3407715179513988E-2"/>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20575488"/>
        <c:crosses val="autoZero"/>
        <c:crossBetween val="between"/>
      </c:valAx>
      <c:catAx>
        <c:axId val="120583680"/>
        <c:scaling>
          <c:orientation val="minMax"/>
        </c:scaling>
        <c:delete val="1"/>
        <c:axPos val="b"/>
        <c:numFmt formatCode="General" sourceLinked="1"/>
        <c:tickLblPos val="nextTo"/>
        <c:crossAx val="120585216"/>
        <c:crosses val="autoZero"/>
        <c:auto val="1"/>
        <c:lblAlgn val="ctr"/>
        <c:lblOffset val="100"/>
      </c:catAx>
      <c:valAx>
        <c:axId val="120585216"/>
        <c:scaling>
          <c:orientation val="minMax"/>
          <c:max val="28"/>
          <c:min val="0"/>
        </c:scaling>
        <c:axPos val="r"/>
        <c:title>
          <c:tx>
            <c:rich>
              <a:bodyPr rot="0" vert="horz"/>
              <a:lstStyle/>
              <a:p>
                <a:pPr algn="ctr">
                  <a:defRPr sz="971" b="0" i="0" u="none" strike="noStrike" baseline="0">
                    <a:solidFill>
                      <a:srgbClr val="000000"/>
                    </a:solidFill>
                    <a:latin typeface="宋体"/>
                    <a:ea typeface="宋体"/>
                    <a:cs typeface="宋体"/>
                  </a:defRPr>
                </a:pPr>
                <a:r>
                  <a:rPr lang="en-US" altLang="zh-CN"/>
                  <a:t>%</a:t>
                </a:r>
              </a:p>
            </c:rich>
          </c:tx>
          <c:layout>
            <c:manualLayout>
              <c:xMode val="edge"/>
              <c:yMode val="edge"/>
              <c:x val="0.89438609008824999"/>
              <c:y val="0.12170043492764852"/>
            </c:manualLayout>
          </c:layout>
          <c:spPr>
            <a:noFill/>
            <a:ln w="25301">
              <a:noFill/>
            </a:ln>
          </c:spPr>
        </c:title>
        <c:numFmt formatCode="General" sourceLinked="1"/>
        <c:majorTickMark val="in"/>
        <c:tickLblPos val="nextTo"/>
        <c:spPr>
          <a:ln w="3163">
            <a:solidFill>
              <a:srgbClr val="000000"/>
            </a:solidFill>
            <a:prstDash val="solid"/>
          </a:ln>
        </c:spPr>
        <c:txPr>
          <a:bodyPr rot="0" vert="horz"/>
          <a:lstStyle/>
          <a:p>
            <a:pPr>
              <a:defRPr sz="797" b="0" i="0" u="none" strike="noStrike" baseline="0">
                <a:solidFill>
                  <a:srgbClr val="000000"/>
                </a:solidFill>
                <a:latin typeface="宋体"/>
                <a:ea typeface="宋体"/>
                <a:cs typeface="宋体"/>
              </a:defRPr>
            </a:pPr>
            <a:endParaRPr lang="zh-CN"/>
          </a:p>
        </c:txPr>
        <c:crossAx val="120583680"/>
        <c:crosses val="max"/>
        <c:crossBetween val="between"/>
      </c:valAx>
      <c:spPr>
        <a:noFill/>
        <a:ln w="25301">
          <a:noFill/>
        </a:ln>
      </c:spPr>
    </c:plotArea>
    <c:legend>
      <c:legendPos val="r"/>
      <c:layout>
        <c:manualLayout>
          <c:xMode val="edge"/>
          <c:yMode val="edge"/>
          <c:x val="0.39051975299204428"/>
          <c:y val="0.11858305481599"/>
          <c:w val="0.46443747929567297"/>
          <c:h val="4.5907211238882924E-2"/>
        </c:manualLayout>
      </c:layout>
      <c:spPr>
        <a:solidFill>
          <a:srgbClr val="FFFFFF"/>
        </a:solidFill>
        <a:ln w="3163">
          <a:noFill/>
          <a:prstDash val="solid"/>
        </a:ln>
      </c:spPr>
      <c:txPr>
        <a:bodyPr/>
        <a:lstStyle/>
        <a:p>
          <a:pPr>
            <a:defRPr sz="91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5" b="0" i="0" u="none" strike="noStrike" baseline="0">
          <a:solidFill>
            <a:srgbClr val="000000"/>
          </a:solidFill>
          <a:latin typeface="宋体"/>
          <a:ea typeface="宋体"/>
          <a:cs typeface="宋体"/>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a:latin typeface="+mj-ea"/>
                <a:ea typeface="+mj-ea"/>
              </a:defRPr>
            </a:pPr>
            <a:r>
              <a:rPr lang="zh-CN" altLang="en-US" sz="1400" b="0">
                <a:latin typeface="+mj-ea"/>
                <a:ea typeface="+mj-ea"/>
              </a:rPr>
              <a:t>图</a:t>
            </a:r>
            <a:r>
              <a:rPr lang="en-US" altLang="zh-CN" sz="1400" b="0">
                <a:latin typeface="+mj-ea"/>
                <a:ea typeface="+mj-ea"/>
              </a:rPr>
              <a:t>8</a:t>
            </a:r>
            <a:r>
              <a:rPr lang="en-US" altLang="zh-CN" sz="1400" b="0" baseline="0">
                <a:latin typeface="+mj-ea"/>
                <a:ea typeface="+mj-ea"/>
              </a:rPr>
              <a:t> </a:t>
            </a:r>
            <a:r>
              <a:rPr lang="zh-CN" altLang="en-US" sz="1400" b="0" baseline="0">
                <a:latin typeface="+mj-ea"/>
                <a:ea typeface="+mj-ea"/>
              </a:rPr>
              <a:t>蕉岭县</a:t>
            </a:r>
            <a:r>
              <a:rPr lang="en-US" altLang="zh-CN" sz="1400" b="0" baseline="0">
                <a:latin typeface="+mj-ea"/>
                <a:ea typeface="+mj-ea"/>
              </a:rPr>
              <a:t>2017</a:t>
            </a:r>
            <a:r>
              <a:rPr lang="zh-CN" altLang="en-US" sz="1400" b="0" baseline="0">
                <a:latin typeface="+mj-ea"/>
                <a:ea typeface="+mj-ea"/>
              </a:rPr>
              <a:t>年</a:t>
            </a:r>
            <a:r>
              <a:rPr lang="zh-CN" altLang="en-US" sz="1400" b="0">
                <a:latin typeface="+mj-ea"/>
                <a:ea typeface="+mj-ea"/>
              </a:rPr>
              <a:t>规模以上工业增加值分经济类型情况</a:t>
            </a:r>
          </a:p>
        </c:rich>
      </c:tx>
    </c:title>
    <c:view3D>
      <c:rotX val="30"/>
      <c:perspective val="30"/>
    </c:view3D>
    <c:plotArea>
      <c:layout/>
      <c:pie3DChart>
        <c:varyColors val="1"/>
        <c:ser>
          <c:idx val="0"/>
          <c:order val="0"/>
          <c:tx>
            <c:strRef>
              <c:f>Sheet1!$B$1</c:f>
              <c:strCache>
                <c:ptCount val="1"/>
                <c:pt idx="0">
                  <c:v>规模以上工业增加值占比</c:v>
                </c:pt>
              </c:strCache>
            </c:strRef>
          </c:tx>
          <c:dLbls>
            <c:dLbl>
              <c:idx val="0"/>
              <c:showVal val="1"/>
            </c:dLbl>
            <c:dLbl>
              <c:idx val="1"/>
              <c:showVal val="1"/>
            </c:dLbl>
            <c:dLbl>
              <c:idx val="2"/>
              <c:layout>
                <c:manualLayout>
                  <c:x val="6.0861767279090123E-2"/>
                  <c:y val="-0.28368953880765085"/>
                </c:manualLayout>
              </c:layout>
              <c:showVal val="1"/>
            </c:dLbl>
            <c:dLbl>
              <c:idx val="3"/>
              <c:showVal val="1"/>
            </c:dLbl>
            <c:delete val="1"/>
          </c:dLbls>
          <c:cat>
            <c:strRef>
              <c:f>Sheet1!$A$2:$A$5</c:f>
              <c:strCache>
                <c:ptCount val="4"/>
                <c:pt idx="0">
                  <c:v>国有企业</c:v>
                </c:pt>
                <c:pt idx="1">
                  <c:v>外商及港澳台商投资企业</c:v>
                </c:pt>
                <c:pt idx="2">
                  <c:v>民营企业</c:v>
                </c:pt>
                <c:pt idx="3">
                  <c:v>其他</c:v>
                </c:pt>
              </c:strCache>
            </c:strRef>
          </c:cat>
          <c:val>
            <c:numRef>
              <c:f>Sheet1!$B$2:$B$5</c:f>
              <c:numCache>
                <c:formatCode>General</c:formatCode>
                <c:ptCount val="4"/>
                <c:pt idx="0">
                  <c:v>5.6</c:v>
                </c:pt>
                <c:pt idx="1">
                  <c:v>7.9</c:v>
                </c:pt>
                <c:pt idx="2">
                  <c:v>85.1</c:v>
                </c:pt>
                <c:pt idx="3">
                  <c:v>1.4</c:v>
                </c:pt>
              </c:numCache>
            </c:numRef>
          </c:val>
        </c:ser>
      </c:pie3DChart>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000000"/>
                </a:solidFill>
                <a:latin typeface="+mj-ea"/>
                <a:ea typeface="+mj-ea"/>
                <a:cs typeface="宋体"/>
              </a:defRPr>
            </a:pPr>
            <a:r>
              <a:rPr lang="zh-CN" altLang="en-US" sz="1400">
                <a:latin typeface="+mj-ea"/>
                <a:ea typeface="+mj-ea"/>
              </a:rPr>
              <a:t>图</a:t>
            </a:r>
            <a:r>
              <a:rPr lang="en-US" altLang="zh-CN" sz="1400">
                <a:latin typeface="+mj-ea"/>
                <a:ea typeface="+mj-ea"/>
              </a:rPr>
              <a:t>9 2012-2017</a:t>
            </a:r>
            <a:r>
              <a:rPr lang="zh-CN" altLang="en-US" sz="1400">
                <a:latin typeface="+mj-ea"/>
                <a:ea typeface="+mj-ea"/>
              </a:rPr>
              <a:t>年全县固定资产投资情况</a:t>
            </a:r>
          </a:p>
        </c:rich>
      </c:tx>
      <c:layout>
        <c:manualLayout>
          <c:xMode val="edge"/>
          <c:yMode val="edge"/>
          <c:x val="0.27092623068418697"/>
          <c:y val="4.6204385742104746E-2"/>
        </c:manualLayout>
      </c:layout>
      <c:spPr>
        <a:noFill/>
        <a:ln w="25329">
          <a:noFill/>
        </a:ln>
      </c:spPr>
    </c:title>
    <c:plotArea>
      <c:layout>
        <c:manualLayout>
          <c:layoutTarget val="inner"/>
          <c:xMode val="edge"/>
          <c:yMode val="edge"/>
          <c:x val="0.16449086161879897"/>
          <c:y val="0.31055900621118016"/>
          <c:w val="0.74934725848564065"/>
          <c:h val="0.60248447204970124"/>
        </c:manualLayout>
      </c:layout>
      <c:barChart>
        <c:barDir val="col"/>
        <c:grouping val="clustered"/>
        <c:ser>
          <c:idx val="0"/>
          <c:order val="0"/>
          <c:tx>
            <c:strRef>
              <c:f>Sheet1!$A$2</c:f>
              <c:strCache>
                <c:ptCount val="1"/>
                <c:pt idx="0">
                  <c:v>固定资产投资</c:v>
                </c:pt>
              </c:strCache>
            </c:strRef>
          </c:tx>
          <c:spPr>
            <a:solidFill>
              <a:srgbClr val="9999FF"/>
            </a:solidFill>
            <a:ln w="12665">
              <a:solidFill>
                <a:srgbClr val="000000"/>
              </a:solidFill>
              <a:prstDash val="solid"/>
            </a:ln>
          </c:spPr>
          <c:dLbls>
            <c:spPr>
              <a:noFill/>
              <a:ln w="25329">
                <a:noFill/>
              </a:ln>
            </c:spPr>
            <c:txPr>
              <a:bodyPr/>
              <a:lstStyle/>
              <a:p>
                <a:pPr>
                  <a:defRPr sz="798" b="0" i="0" u="none" strike="noStrike" baseline="0">
                    <a:solidFill>
                      <a:srgbClr val="000000"/>
                    </a:solidFill>
                    <a:latin typeface="宋体"/>
                    <a:ea typeface="宋体"/>
                    <a:cs typeface="宋体"/>
                  </a:defRPr>
                </a:pPr>
                <a:endParaRPr lang="zh-CN"/>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112354</c:v>
                </c:pt>
                <c:pt idx="1">
                  <c:v>143989</c:v>
                </c:pt>
                <c:pt idx="2">
                  <c:v>187078</c:v>
                </c:pt>
                <c:pt idx="3">
                  <c:v>283892</c:v>
                </c:pt>
                <c:pt idx="4">
                  <c:v>393628</c:v>
                </c:pt>
                <c:pt idx="5">
                  <c:v>530095</c:v>
                </c:pt>
              </c:numCache>
            </c:numRef>
          </c:val>
        </c:ser>
        <c:axId val="124827136"/>
        <c:axId val="124829056"/>
      </c:barChart>
      <c:catAx>
        <c:axId val="124827136"/>
        <c:scaling>
          <c:orientation val="minMax"/>
        </c:scaling>
        <c:axPos val="b"/>
        <c:title>
          <c:tx>
            <c:rich>
              <a:bodyPr/>
              <a:lstStyle/>
              <a:p>
                <a:pPr>
                  <a:defRPr sz="798" b="0" i="0" u="none" strike="noStrike" baseline="0">
                    <a:solidFill>
                      <a:srgbClr val="000000"/>
                    </a:solidFill>
                    <a:latin typeface="宋体"/>
                    <a:ea typeface="宋体"/>
                    <a:cs typeface="宋体"/>
                  </a:defRPr>
                </a:pPr>
                <a:r>
                  <a:rPr lang="zh-CN" altLang="en-US"/>
                  <a:t>年份</a:t>
                </a:r>
              </a:p>
            </c:rich>
          </c:tx>
          <c:layout>
            <c:manualLayout>
              <c:xMode val="edge"/>
              <c:yMode val="edge"/>
              <c:x val="0.89425587467363465"/>
              <c:y val="0.93788819875775242"/>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4829056"/>
        <c:crosses val="autoZero"/>
        <c:auto val="1"/>
        <c:lblAlgn val="ctr"/>
        <c:lblOffset val="100"/>
        <c:tickLblSkip val="1"/>
        <c:tickMarkSkip val="1"/>
      </c:catAx>
      <c:valAx>
        <c:axId val="124829056"/>
        <c:scaling>
          <c:orientation val="minMax"/>
        </c:scaling>
        <c:axPos val="l"/>
        <c:title>
          <c:tx>
            <c:rich>
              <a:bodyPr rot="0" vert="horz"/>
              <a:lstStyle/>
              <a:p>
                <a:pPr algn="ctr">
                  <a:defRPr sz="1097" b="0" i="0" u="none" strike="noStrike" baseline="0">
                    <a:solidFill>
                      <a:srgbClr val="000000"/>
                    </a:solidFill>
                    <a:latin typeface="宋体"/>
                    <a:ea typeface="宋体"/>
                    <a:cs typeface="宋体"/>
                  </a:defRPr>
                </a:pPr>
                <a:r>
                  <a:rPr lang="zh-CN" altLang="en-US"/>
                  <a:t>万元</a:t>
                </a:r>
              </a:p>
            </c:rich>
          </c:tx>
          <c:layout>
            <c:manualLayout>
              <c:xMode val="edge"/>
              <c:yMode val="edge"/>
              <c:x val="0.14621409921671041"/>
              <c:y val="0.16149068322981369"/>
            </c:manualLayout>
          </c:layout>
          <c:spPr>
            <a:noFill/>
            <a:ln w="25329">
              <a:noFill/>
            </a:ln>
          </c:spPr>
        </c:title>
        <c:numFmt formatCode="General" sourceLinked="1"/>
        <c:majorTickMark val="in"/>
        <c:tickLblPos val="nextTo"/>
        <c:spPr>
          <a:ln w="3166">
            <a:solidFill>
              <a:srgbClr val="000000"/>
            </a:solidFill>
            <a:prstDash val="solid"/>
          </a:ln>
        </c:spPr>
        <c:txPr>
          <a:bodyPr rot="0" vert="horz"/>
          <a:lstStyle/>
          <a:p>
            <a:pPr>
              <a:defRPr sz="798" b="0" i="0" u="none" strike="noStrike" baseline="0">
                <a:solidFill>
                  <a:srgbClr val="000000"/>
                </a:solidFill>
                <a:latin typeface="宋体"/>
                <a:ea typeface="宋体"/>
                <a:cs typeface="宋体"/>
              </a:defRPr>
            </a:pPr>
            <a:endParaRPr lang="zh-CN"/>
          </a:p>
        </c:txPr>
        <c:crossAx val="124827136"/>
        <c:crosses val="autoZero"/>
        <c:crossBetween val="between"/>
        <c:minorUnit val="5000"/>
      </c:valAx>
      <c:spPr>
        <a:noFill/>
        <a:ln w="25329">
          <a:noFill/>
        </a:ln>
      </c:spPr>
    </c:plotArea>
    <c:plotVisOnly val="1"/>
    <c:dispBlanksAs val="gap"/>
  </c:chart>
  <c:spPr>
    <a:noFill/>
    <a:ln>
      <a:noFill/>
    </a:ln>
  </c:spPr>
  <c:txPr>
    <a:bodyPr/>
    <a:lstStyle/>
    <a:p>
      <a:pPr>
        <a:defRPr sz="1197"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FE8A-4ECE-4086-831D-8F2B95E3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3860</TotalTime>
  <Pages>19</Pages>
  <Words>1360</Words>
  <Characters>7754</Characters>
  <Application>Microsoft Office Word</Application>
  <DocSecurity>0</DocSecurity>
  <PresentationFormat/>
  <Lines>64</Lines>
  <Paragraphs>18</Paragraphs>
  <Slides>0</Slides>
  <Notes>0</Notes>
  <HiddenSlides>0</HiddenSlides>
  <MMClips>0</MMClips>
  <ScaleCrop>false</ScaleCrop>
  <Company>Chinese ORG</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蕉 岭 县 统 计 局</dc:title>
  <dc:creator>Chinese User</dc:creator>
  <cp:lastModifiedBy>Lenovo</cp:lastModifiedBy>
  <cp:revision>87</cp:revision>
  <cp:lastPrinted>2018-04-08T01:16:00Z</cp:lastPrinted>
  <dcterms:created xsi:type="dcterms:W3CDTF">2018-03-12T06:54:00Z</dcterms:created>
  <dcterms:modified xsi:type="dcterms:W3CDTF">2018-04-08T01:25:00Z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