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4"/>
          <w:szCs w:val="44"/>
        </w:rPr>
      </w:pPr>
    </w:p>
    <w:p>
      <w:pPr>
        <w:jc w:val="center"/>
        <w:rPr>
          <w:rFonts w:ascii="仿宋" w:hAnsi="仿宋" w:eastAsia="仿宋"/>
          <w:sz w:val="44"/>
          <w:szCs w:val="44"/>
        </w:rPr>
      </w:pP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蕉岭县卫生和计划生育局2017年</w:t>
      </w:r>
    </w:p>
    <w:p>
      <w:pPr>
        <w:jc w:val="center"/>
        <w:rPr>
          <w:rFonts w:ascii="仿宋" w:hAnsi="仿宋" w:eastAsia="仿宋"/>
          <w:sz w:val="44"/>
          <w:szCs w:val="44"/>
        </w:rPr>
      </w:pPr>
      <w:r>
        <w:rPr>
          <w:rFonts w:hint="eastAsia" w:ascii="仿宋" w:hAnsi="仿宋" w:eastAsia="仿宋"/>
          <w:sz w:val="44"/>
          <w:szCs w:val="44"/>
        </w:rPr>
        <w:t>行政许可实施和监督管理情况报告</w:t>
      </w:r>
    </w:p>
    <w:p>
      <w:pPr>
        <w:jc w:val="center"/>
        <w:rPr>
          <w:rFonts w:ascii="楷体_GB2312" w:eastAsia="楷体_GB2312"/>
        </w:rPr>
      </w:pPr>
    </w:p>
    <w:p/>
    <w:p>
      <w:pPr>
        <w:rPr>
          <w:rFonts w:ascii="仿宋" w:hAnsi="仿宋" w:eastAsia="仿宋"/>
          <w:sz w:val="30"/>
          <w:szCs w:val="30"/>
        </w:rPr>
      </w:pPr>
      <w:r>
        <w:rPr>
          <w:rFonts w:hint="eastAsia" w:ascii="仿宋" w:hAnsi="仿宋" w:eastAsia="仿宋"/>
          <w:sz w:val="30"/>
          <w:szCs w:val="30"/>
        </w:rPr>
        <w:t>县政府：</w:t>
      </w:r>
    </w:p>
    <w:p>
      <w:pPr>
        <w:ind w:firstLine="584" w:firstLineChars="200"/>
        <w:rPr>
          <w:rFonts w:ascii="仿宋" w:hAnsi="仿宋" w:eastAsia="仿宋"/>
          <w:sz w:val="30"/>
          <w:szCs w:val="30"/>
        </w:rPr>
      </w:pPr>
      <w:r>
        <w:rPr>
          <w:rFonts w:hint="eastAsia" w:ascii="仿宋" w:hAnsi="仿宋" w:eastAsia="仿宋"/>
          <w:sz w:val="30"/>
          <w:szCs w:val="30"/>
        </w:rPr>
        <w:t>根据《关于报送行政许可实施和和监督管理情况年度报告的通知》要求，现将我单位2017年行政许可实施和监督管理情况报告如下：</w:t>
      </w:r>
    </w:p>
    <w:p>
      <w:pPr>
        <w:spacing w:line="560" w:lineRule="exact"/>
        <w:ind w:firstLine="584" w:firstLineChars="200"/>
        <w:rPr>
          <w:rFonts w:ascii="仿宋" w:hAnsi="仿宋" w:eastAsia="仿宋"/>
          <w:sz w:val="30"/>
          <w:szCs w:val="30"/>
        </w:rPr>
      </w:pPr>
      <w:r>
        <w:rPr>
          <w:rFonts w:hint="eastAsia" w:ascii="仿宋" w:hAnsi="仿宋" w:eastAsia="仿宋"/>
          <w:sz w:val="30"/>
          <w:szCs w:val="30"/>
        </w:rPr>
        <w:t>一、基本情况</w:t>
      </w:r>
    </w:p>
    <w:p>
      <w:pPr>
        <w:widowControl/>
        <w:shd w:val="clear" w:color="auto" w:fill="FFFFFF"/>
        <w:wordWrap w:val="0"/>
        <w:spacing w:before="100" w:beforeAutospacing="1" w:after="100" w:afterAutospacing="1" w:line="600" w:lineRule="atLeast"/>
        <w:ind w:firstLine="640"/>
        <w:rPr>
          <w:rFonts w:ascii="仿宋" w:hAnsi="仿宋" w:eastAsia="仿宋" w:cs="宋体"/>
          <w:color w:val="000000"/>
          <w:kern w:val="0"/>
          <w:sz w:val="30"/>
          <w:szCs w:val="30"/>
        </w:rPr>
      </w:pPr>
      <w:r>
        <w:rPr>
          <w:rFonts w:hint="eastAsia" w:ascii="仿宋" w:hAnsi="仿宋" w:eastAsia="仿宋"/>
          <w:sz w:val="30"/>
          <w:szCs w:val="30"/>
        </w:rPr>
        <w:t>1、现有事项及办理情况。本单位现有行政许可共有10项，公共场所卫生许可</w:t>
      </w:r>
      <w:r>
        <w:rPr>
          <w:rFonts w:hint="eastAsia" w:ascii="仿宋" w:hAnsi="仿宋" w:eastAsia="仿宋"/>
          <w:sz w:val="30"/>
          <w:szCs w:val="30"/>
          <w:lang w:val="en-US" w:eastAsia="zh-CN"/>
        </w:rPr>
        <w:t>19</w:t>
      </w:r>
      <w:r>
        <w:rPr>
          <w:rFonts w:hint="eastAsia" w:ascii="仿宋" w:hAnsi="仿宋" w:eastAsia="仿宋"/>
          <w:sz w:val="30"/>
          <w:szCs w:val="30"/>
        </w:rPr>
        <w:t>份、供水单位卫生许可</w:t>
      </w:r>
      <w:r>
        <w:rPr>
          <w:rFonts w:hint="eastAsia" w:ascii="仿宋" w:hAnsi="仿宋" w:eastAsia="仿宋"/>
          <w:sz w:val="30"/>
          <w:szCs w:val="30"/>
          <w:lang w:val="en-US" w:eastAsia="zh-CN"/>
        </w:rPr>
        <w:t>1</w:t>
      </w:r>
      <w:r>
        <w:rPr>
          <w:rFonts w:hint="eastAsia" w:ascii="仿宋" w:hAnsi="仿宋" w:eastAsia="仿宋"/>
          <w:sz w:val="30"/>
          <w:szCs w:val="30"/>
        </w:rPr>
        <w:t>份、放射诊疗许可</w:t>
      </w:r>
      <w:r>
        <w:rPr>
          <w:rFonts w:hint="eastAsia" w:ascii="仿宋" w:hAnsi="仿宋" w:eastAsia="仿宋"/>
          <w:sz w:val="30"/>
          <w:szCs w:val="30"/>
          <w:lang w:val="en-US" w:eastAsia="zh-CN"/>
        </w:rPr>
        <w:t>0</w:t>
      </w:r>
      <w:r>
        <w:rPr>
          <w:rFonts w:hint="eastAsia" w:ascii="仿宋" w:hAnsi="仿宋" w:eastAsia="仿宋"/>
          <w:sz w:val="30"/>
          <w:szCs w:val="30"/>
        </w:rPr>
        <w:t>份、医疗机构设置审批和执业许可</w:t>
      </w:r>
      <w:r>
        <w:rPr>
          <w:rFonts w:hint="eastAsia" w:ascii="仿宋" w:hAnsi="仿宋" w:eastAsia="仿宋"/>
          <w:sz w:val="30"/>
          <w:szCs w:val="30"/>
          <w:lang w:val="en-US" w:eastAsia="zh-CN"/>
        </w:rPr>
        <w:t>11</w:t>
      </w:r>
      <w:r>
        <w:rPr>
          <w:rFonts w:hint="eastAsia" w:ascii="仿宋" w:hAnsi="仿宋" w:eastAsia="仿宋"/>
          <w:sz w:val="30"/>
          <w:szCs w:val="30"/>
        </w:rPr>
        <w:t>份、母婴保健技术服务执业许可</w:t>
      </w:r>
      <w:r>
        <w:rPr>
          <w:rFonts w:hint="eastAsia" w:ascii="仿宋" w:hAnsi="仿宋" w:eastAsia="仿宋"/>
          <w:sz w:val="30"/>
          <w:szCs w:val="30"/>
          <w:lang w:val="en-US" w:eastAsia="zh-CN"/>
        </w:rPr>
        <w:t>2</w:t>
      </w:r>
      <w:r>
        <w:rPr>
          <w:rFonts w:hint="eastAsia" w:ascii="仿宋" w:hAnsi="仿宋" w:eastAsia="仿宋"/>
          <w:sz w:val="30"/>
          <w:szCs w:val="30"/>
        </w:rPr>
        <w:t>份、、医师执业注册</w:t>
      </w:r>
      <w:r>
        <w:rPr>
          <w:rFonts w:hint="eastAsia" w:ascii="仿宋" w:hAnsi="仿宋" w:eastAsia="仿宋"/>
          <w:sz w:val="30"/>
          <w:szCs w:val="30"/>
          <w:lang w:val="en-US" w:eastAsia="zh-CN"/>
        </w:rPr>
        <w:t>57</w:t>
      </w:r>
      <w:r>
        <w:rPr>
          <w:rFonts w:hint="eastAsia" w:ascii="仿宋" w:hAnsi="仿宋" w:eastAsia="仿宋"/>
          <w:sz w:val="30"/>
          <w:szCs w:val="30"/>
        </w:rPr>
        <w:t>份、单采血浆站许可证审核0份、乡村医生执业注册</w:t>
      </w:r>
      <w:r>
        <w:rPr>
          <w:rFonts w:hint="eastAsia" w:ascii="仿宋" w:hAnsi="仿宋" w:eastAsia="仿宋"/>
          <w:sz w:val="30"/>
          <w:szCs w:val="30"/>
          <w:lang w:val="en-US" w:eastAsia="zh-CN"/>
        </w:rPr>
        <w:t>11</w:t>
      </w:r>
      <w:r>
        <w:rPr>
          <w:rFonts w:hint="eastAsia" w:ascii="仿宋" w:hAnsi="仿宋" w:eastAsia="仿宋"/>
          <w:sz w:val="30"/>
          <w:szCs w:val="30"/>
        </w:rPr>
        <w:t>份、家庭接生员技术合格证书核发0份、乡村妇幼保健人员合格证书核发。</w:t>
      </w:r>
      <w:r>
        <w:rPr>
          <w:rFonts w:hint="eastAsia" w:ascii="仿宋" w:hAnsi="仿宋" w:eastAsia="仿宋" w:cs="宋体"/>
          <w:color w:val="000000"/>
          <w:spacing w:val="3"/>
          <w:kern w:val="0"/>
          <w:sz w:val="30"/>
          <w:szCs w:val="30"/>
        </w:rPr>
        <w:t>服务窗口按时办结率100%、提前办结率100%、差错率0%，群众满意率100%。没有未受理、未按时办结的事项。</w:t>
      </w:r>
    </w:p>
    <w:p>
      <w:pPr>
        <w:widowControl/>
        <w:shd w:val="clear" w:color="auto" w:fill="FFFFFF"/>
        <w:wordWrap w:val="0"/>
        <w:spacing w:before="100" w:beforeAutospacing="1" w:after="100" w:afterAutospacing="1" w:line="600" w:lineRule="atLeas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2、依法实施情况</w:t>
      </w:r>
    </w:p>
    <w:p>
      <w:pPr>
        <w:widowControl/>
        <w:shd w:val="clear" w:color="auto" w:fill="FFFFFF"/>
        <w:wordWrap w:val="0"/>
        <w:spacing w:before="100" w:beforeAutospacing="1" w:after="100" w:afterAutospacing="1" w:line="600" w:lineRule="atLeast"/>
        <w:ind w:firstLine="643"/>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（一）严守法律法规。</w:t>
      </w:r>
      <w:r>
        <w:rPr>
          <w:rFonts w:hint="eastAsia" w:ascii="仿宋" w:hAnsi="仿宋" w:eastAsia="仿宋" w:cs="宋体"/>
          <w:color w:val="000000"/>
          <w:kern w:val="0"/>
          <w:sz w:val="30"/>
          <w:szCs w:val="30"/>
        </w:rPr>
        <w:t>我局严格按照《中华人民共和国行政许可法》、《广东省行政许可监督管理条例》的规定权限范围进行审批受理，坚决杜绝一切“吃拿卡要”、违法乱纪现象。</w:t>
      </w:r>
    </w:p>
    <w:p>
      <w:pPr>
        <w:widowControl/>
        <w:shd w:val="clear" w:color="auto" w:fill="FFFFFF"/>
        <w:wordWrap w:val="0"/>
        <w:spacing w:before="100" w:beforeAutospacing="1" w:after="100" w:afterAutospacing="1" w:line="600" w:lineRule="atLeast"/>
        <w:ind w:firstLine="578"/>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（二）优化工作流程。</w:t>
      </w:r>
      <w:r>
        <w:rPr>
          <w:rFonts w:hint="eastAsia" w:ascii="仿宋" w:hAnsi="仿宋" w:eastAsia="仿宋" w:cs="宋体"/>
          <w:color w:val="000000"/>
          <w:kern w:val="0"/>
          <w:sz w:val="30"/>
          <w:szCs w:val="30"/>
        </w:rPr>
        <w:t>我局严格按照《行政许可法》等法律法规规定的权限、范围、条件、程序，规范“卫生许可证”的受理、审查和发放工作。</w:t>
      </w:r>
      <w:r>
        <w:rPr>
          <w:rFonts w:hint="eastAsia" w:ascii="仿宋" w:hAnsi="仿宋" w:eastAsia="仿宋" w:cs="宋体"/>
          <w:b/>
          <w:bCs/>
          <w:color w:val="000000"/>
          <w:spacing w:val="3"/>
          <w:kern w:val="0"/>
          <w:sz w:val="30"/>
          <w:szCs w:val="30"/>
        </w:rPr>
        <w:t>一是</w:t>
      </w:r>
      <w:r>
        <w:rPr>
          <w:rFonts w:hint="eastAsia" w:ascii="仿宋" w:hAnsi="仿宋" w:eastAsia="仿宋" w:cs="宋体"/>
          <w:color w:val="000000"/>
          <w:spacing w:val="3"/>
          <w:kern w:val="0"/>
          <w:sz w:val="30"/>
          <w:szCs w:val="30"/>
        </w:rPr>
        <w:t>简化审批程序，落实“一审一核”，公共场所行政审批时限从法定的30个工作日缩短至20个工作日（承诺时限），缩短群众办事时间；</w:t>
      </w:r>
      <w:r>
        <w:rPr>
          <w:rFonts w:hint="eastAsia" w:ascii="仿宋" w:hAnsi="仿宋" w:eastAsia="仿宋" w:cs="宋体"/>
          <w:b/>
          <w:bCs/>
          <w:color w:val="000000"/>
          <w:spacing w:val="3"/>
          <w:kern w:val="0"/>
          <w:sz w:val="30"/>
          <w:szCs w:val="30"/>
        </w:rPr>
        <w:t>二是</w:t>
      </w:r>
      <w:r>
        <w:rPr>
          <w:rFonts w:hint="eastAsia" w:ascii="仿宋" w:hAnsi="仿宋" w:eastAsia="仿宋" w:cs="宋体"/>
          <w:color w:val="000000"/>
          <w:spacing w:val="3"/>
          <w:kern w:val="0"/>
          <w:sz w:val="30"/>
          <w:szCs w:val="30"/>
        </w:rPr>
        <w:t>开辟“绿色通道”，对特殊群体如残疾人、老年人实行优先办理。</w:t>
      </w:r>
      <w:r>
        <w:rPr>
          <w:rFonts w:hint="eastAsia" w:ascii="仿宋" w:hAnsi="仿宋" w:eastAsia="仿宋" w:cs="宋体"/>
          <w:b/>
          <w:bCs/>
          <w:color w:val="000000"/>
          <w:spacing w:val="3"/>
          <w:kern w:val="0"/>
          <w:sz w:val="30"/>
          <w:szCs w:val="30"/>
        </w:rPr>
        <w:t>三是</w:t>
      </w:r>
      <w:r>
        <w:rPr>
          <w:rFonts w:hint="eastAsia" w:ascii="仿宋" w:hAnsi="仿宋" w:eastAsia="仿宋" w:cs="宋体"/>
          <w:color w:val="000000"/>
          <w:spacing w:val="3"/>
          <w:kern w:val="0"/>
          <w:sz w:val="30"/>
          <w:szCs w:val="30"/>
        </w:rPr>
        <w:t>推广网上审批服务，审批过程“看得见、管得住”，对即将到期件、逾期件发出预警，大大提高办理效率；</w:t>
      </w:r>
      <w:r>
        <w:rPr>
          <w:rFonts w:hint="eastAsia" w:ascii="仿宋" w:hAnsi="仿宋" w:eastAsia="仿宋" w:cs="宋体"/>
          <w:b/>
          <w:bCs/>
          <w:color w:val="000000"/>
          <w:spacing w:val="3"/>
          <w:kern w:val="0"/>
          <w:sz w:val="30"/>
          <w:szCs w:val="30"/>
        </w:rPr>
        <w:t>四是</w:t>
      </w:r>
      <w:r>
        <w:rPr>
          <w:rFonts w:hint="eastAsia" w:ascii="仿宋" w:hAnsi="仿宋" w:eastAsia="仿宋" w:cs="宋体"/>
          <w:color w:val="000000"/>
          <w:spacing w:val="3"/>
          <w:kern w:val="0"/>
          <w:sz w:val="30"/>
          <w:szCs w:val="30"/>
        </w:rPr>
        <w:t>开通了信息发布平台，为群众提供短信提醒服务；</w:t>
      </w:r>
      <w:r>
        <w:rPr>
          <w:rFonts w:hint="eastAsia" w:ascii="仿宋" w:hAnsi="仿宋" w:eastAsia="仿宋" w:cs="宋体"/>
          <w:b/>
          <w:bCs/>
          <w:color w:val="000000"/>
          <w:spacing w:val="3"/>
          <w:kern w:val="0"/>
          <w:sz w:val="30"/>
          <w:szCs w:val="30"/>
        </w:rPr>
        <w:t>五是</w:t>
      </w:r>
      <w:r>
        <w:rPr>
          <w:rFonts w:hint="eastAsia" w:ascii="仿宋" w:hAnsi="仿宋" w:eastAsia="仿宋" w:cs="宋体"/>
          <w:color w:val="000000"/>
          <w:spacing w:val="3"/>
          <w:kern w:val="0"/>
          <w:sz w:val="30"/>
          <w:szCs w:val="30"/>
        </w:rPr>
        <w:t>结合行政中心志愿服务等便民服务措施，通过开展预约服务，延时服务，上门服务，让办事群众能随时办事，办好事。</w:t>
      </w:r>
    </w:p>
    <w:p>
      <w:pPr>
        <w:widowControl/>
        <w:shd w:val="clear" w:color="auto" w:fill="FFFFFF"/>
        <w:wordWrap w:val="0"/>
        <w:spacing w:before="100" w:beforeAutospacing="1" w:after="100" w:afterAutospacing="1" w:line="600" w:lineRule="atLeast"/>
        <w:ind w:firstLine="420"/>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（三）完善规章制度。</w:t>
      </w:r>
      <w:r>
        <w:rPr>
          <w:rFonts w:hint="eastAsia" w:ascii="仿宋" w:hAnsi="仿宋" w:eastAsia="仿宋" w:cs="宋体"/>
          <w:color w:val="000000"/>
          <w:spacing w:val="3"/>
          <w:kern w:val="0"/>
          <w:sz w:val="30"/>
          <w:szCs w:val="30"/>
        </w:rPr>
        <w:t>我局制定了《卫生计生窗口工作制度》、《卫生计生局窗口首办（首问）、一次性告知责任制》等多项规章制度。对窗口的工作职责、工作制度、岗位职责和工作规范、工作服务承诺、档案管理制度和审批系统操作手册等有明确规定，严格按章办事，确保各项工作迅速、有序开展，提高工作效率。</w:t>
      </w:r>
    </w:p>
    <w:p>
      <w:pPr>
        <w:widowControl/>
        <w:shd w:val="clear" w:color="auto" w:fill="FFFFFF"/>
        <w:wordWrap w:val="0"/>
        <w:spacing w:before="100" w:beforeAutospacing="1" w:after="100" w:afterAutospacing="1" w:line="600" w:lineRule="atLeast"/>
        <w:ind w:firstLine="579"/>
        <w:rPr>
          <w:rFonts w:ascii="仿宋" w:hAnsi="仿宋" w:eastAsia="仿宋" w:cs="宋体"/>
          <w:color w:val="000000"/>
          <w:kern w:val="0"/>
          <w:sz w:val="30"/>
          <w:szCs w:val="30"/>
        </w:rPr>
      </w:pPr>
      <w:r>
        <w:rPr>
          <w:rFonts w:hint="eastAsia" w:ascii="仿宋" w:hAnsi="仿宋" w:eastAsia="仿宋" w:cs="宋体"/>
          <w:color w:val="000000"/>
          <w:kern w:val="0"/>
          <w:sz w:val="30"/>
          <w:szCs w:val="30"/>
        </w:rPr>
        <w:t>3、公开公示情况</w:t>
      </w:r>
    </w:p>
    <w:p>
      <w:pPr>
        <w:widowControl/>
        <w:shd w:val="clear" w:color="auto" w:fill="FFFFFF"/>
        <w:wordWrap w:val="0"/>
        <w:spacing w:before="100" w:beforeAutospacing="1" w:after="100" w:afterAutospacing="1" w:line="600" w:lineRule="atLeast"/>
        <w:ind w:firstLine="579"/>
        <w:rPr>
          <w:rFonts w:ascii="仿宋" w:hAnsi="仿宋" w:eastAsia="仿宋" w:cs="宋体"/>
          <w:color w:val="000000"/>
          <w:kern w:val="0"/>
          <w:sz w:val="30"/>
          <w:szCs w:val="30"/>
        </w:rPr>
      </w:pPr>
      <w:r>
        <w:rPr>
          <w:rFonts w:hint="eastAsia" w:ascii="仿宋" w:hAnsi="仿宋" w:eastAsia="仿宋" w:cs="宋体"/>
          <w:color w:val="000000"/>
          <w:kern w:val="0"/>
          <w:sz w:val="30"/>
          <w:szCs w:val="30"/>
        </w:rPr>
        <w:t>我局通过公示栏、小册子、各类卫生计生信息服务平台（短信服务平台、门户网站等）、传统新闻媒体（报纸、电视台、广播电台）等方式将卫生行政许可相关信息进行公示，自觉接受社会监督，使卫生许可工作透明规范、阳光操作。一是公示内容、期限。开展《双公示制度》对每项信息的公示内容、公示期限均有明确规定。根据公示类别分为行政许可类、监督执法类、专项抽检类。行政许可类包括行政许可办事指南、行政许可审批结果、卫生信誉度评级信息；监督执法类包括卫生行政处罚案件信息、取缔无证经营、非法行医信息、医疗机构不良执业行为记分情况、卫生监督“黑名单”信息。每项信息根据其需公示的具体内容及期限进行公示。二是公示依据。每项公示信息均以《行政许可法》、《中华人民共和国政府信息公开条例》、《公共场所卫生管理条例实施细则》、《广东省卫生厅关于医疗机构不良执业行为记分的试行管理办法》等法律法规中的相关规定作为依据。三是公示审批程序。我局各类卫生行政许可信息在审批结果形成后直接公示，各类监督执法和专项抽检信息由承办机构在完成相应的法定处理程序后进行公示。</w:t>
      </w:r>
    </w:p>
    <w:p>
      <w:pPr>
        <w:widowControl/>
        <w:shd w:val="clear" w:color="auto" w:fill="FFFFFF"/>
        <w:wordWrap w:val="0"/>
        <w:spacing w:before="100" w:beforeAutospacing="1" w:after="100" w:afterAutospacing="1" w:line="600" w:lineRule="atLeast"/>
        <w:ind w:firstLine="420"/>
        <w:rPr>
          <w:rFonts w:ascii="仿宋" w:hAnsi="仿宋" w:eastAsia="仿宋" w:cs="宋体"/>
          <w:color w:val="000000"/>
          <w:kern w:val="0"/>
          <w:sz w:val="30"/>
          <w:szCs w:val="30"/>
        </w:rPr>
      </w:pPr>
      <w:r>
        <w:rPr>
          <w:rFonts w:hint="eastAsia" w:ascii="仿宋" w:hAnsi="仿宋" w:eastAsia="仿宋" w:cs="宋体"/>
          <w:color w:val="000000"/>
          <w:kern w:val="0"/>
          <w:sz w:val="30"/>
          <w:szCs w:val="30"/>
        </w:rPr>
        <w:t>4、监督管理情况</w:t>
      </w:r>
    </w:p>
    <w:p>
      <w:pPr>
        <w:widowControl/>
        <w:shd w:val="clear" w:color="auto" w:fill="FFFFFF"/>
        <w:wordWrap w:val="0"/>
        <w:spacing w:before="100" w:beforeAutospacing="1" w:after="100" w:afterAutospacing="1" w:line="600" w:lineRule="atLeast"/>
        <w:ind w:firstLine="420"/>
        <w:rPr>
          <w:rFonts w:ascii="仿宋" w:hAnsi="仿宋" w:eastAsia="仿宋" w:cs="宋体"/>
          <w:color w:val="000000"/>
          <w:kern w:val="0"/>
          <w:sz w:val="30"/>
          <w:szCs w:val="30"/>
        </w:rPr>
      </w:pPr>
      <w:r>
        <w:rPr>
          <w:rFonts w:hint="eastAsia" w:ascii="仿宋" w:hAnsi="仿宋" w:eastAsia="仿宋" w:cs="宋体"/>
          <w:color w:val="000000"/>
          <w:kern w:val="0"/>
          <w:sz w:val="30"/>
          <w:szCs w:val="30"/>
        </w:rPr>
        <w:t>（一）加强行政审批事后监管情况。一是加强公共场所监管。针对公共场所监管对象点多、面广、量大，监管任务繁重等特点，我局和县卫生监督所将行政许可、复核、巡查、专项等与日常监管工作相结合。根据地域、人员特点，分小组对公共场所进行管理，并利用任务指派系统进行分工，使监督员工作任务更加明确，确保对公共场所经营单位的监督检查每年不少于一次，监督成效显著。二是加强供水单位监管。继续推进生活饮用水现场快速检测与监督执法相结合的监管模式，努力提高生活饮用水的管理效能。每年对城区1间集中式供水单位进行不少于2次的监督检查。督促供水单位完善和落实制水、消毒工艺设备设施，加强水质检测，保障安全供水。三是加强医疗机构监管。通过开展打击“三非”、医疗广告监管、加大对《献血法》等法律法规落实情况监督检查，规范了执业行为。开展医疗机构执业许可证执业行为监督检查16次，共检查县直医疗机构105间次，排查线索6条，进一步规范了医疗市场秩序，净化了医疗服务环境。四是加强放射诊疗监管。我局对全县7间开展放射诊疗的医疗机构进行现场督导，重点检查放射诊疗建设项目卫生审查、设备及场所检测、许可证校验、人员健康监护等制度的落实情况。经过两年来的持续整治，全县放射诊疗设备性能、场所防护检测率，放射工作人员证持证率，个人剂量检测率、职业健康检查率和建档率均达到了95%以上。</w:t>
      </w:r>
    </w:p>
    <w:p>
      <w:pPr>
        <w:widowControl/>
        <w:shd w:val="clear" w:color="auto" w:fill="FFFFFF"/>
        <w:wordWrap w:val="0"/>
        <w:spacing w:before="100" w:beforeAutospacing="1" w:after="100" w:afterAutospacing="1" w:line="600" w:lineRule="atLeast"/>
        <w:ind w:firstLine="420"/>
        <w:rPr>
          <w:rFonts w:ascii="仿宋" w:hAnsi="仿宋" w:eastAsia="仿宋" w:cs="宋体"/>
          <w:color w:val="303030"/>
          <w:kern w:val="0"/>
          <w:sz w:val="30"/>
          <w:szCs w:val="30"/>
        </w:rPr>
      </w:pPr>
      <w:r>
        <w:rPr>
          <w:rFonts w:hint="eastAsia" w:ascii="仿宋" w:hAnsi="仿宋" w:eastAsia="仿宋" w:cs="宋体"/>
          <w:color w:val="000000"/>
          <w:kern w:val="0"/>
          <w:sz w:val="30"/>
          <w:szCs w:val="30"/>
        </w:rPr>
        <w:t>（二）加强内部监督。我局制定《蕉岭县卫生计生局行政执法责任制度》，</w:t>
      </w:r>
      <w:r>
        <w:rPr>
          <w:rFonts w:hint="eastAsia" w:ascii="仿宋" w:hAnsi="仿宋" w:eastAsia="仿宋" w:cs="宋体"/>
          <w:color w:val="000000"/>
          <w:spacing w:val="-10"/>
          <w:kern w:val="0"/>
          <w:sz w:val="30"/>
          <w:szCs w:val="30"/>
        </w:rPr>
        <w:t>认真做好</w:t>
      </w:r>
      <w:r>
        <w:rPr>
          <w:rFonts w:hint="eastAsia" w:ascii="仿宋" w:hAnsi="仿宋" w:eastAsia="仿宋" w:cs="宋体"/>
          <w:color w:val="303030"/>
          <w:kern w:val="0"/>
          <w:sz w:val="30"/>
          <w:szCs w:val="30"/>
        </w:rPr>
        <w:t>相关许可事项的后续监管工作，设立举报投诉电话，由局法规股统一受理，一经接到举报，依法调查核实，依法查处。</w:t>
      </w:r>
    </w:p>
    <w:p>
      <w:pPr>
        <w:widowControl/>
        <w:spacing w:line="360" w:lineRule="auto"/>
        <w:ind w:firstLine="584" w:firstLineChars="200"/>
        <w:jc w:val="left"/>
        <w:rPr>
          <w:rFonts w:ascii="仿宋" w:hAnsi="仿宋" w:eastAsia="仿宋" w:cs="仿宋_GB2312"/>
          <w:kern w:val="0"/>
          <w:sz w:val="30"/>
          <w:szCs w:val="30"/>
          <w:shd w:val="clear" w:color="auto" w:fill="FFFFFF"/>
        </w:rPr>
      </w:pPr>
      <w:r>
        <w:rPr>
          <w:rFonts w:hint="eastAsia" w:ascii="仿宋" w:hAnsi="仿宋" w:eastAsia="仿宋" w:cs="宋体"/>
          <w:b/>
          <w:kern w:val="0"/>
          <w:sz w:val="30"/>
          <w:szCs w:val="30"/>
        </w:rPr>
        <w:t>5、实施效果情况。</w:t>
      </w:r>
      <w:r>
        <w:rPr>
          <w:rFonts w:hint="eastAsia" w:ascii="仿宋" w:hAnsi="仿宋" w:eastAsia="仿宋" w:cs="仿宋_GB2312"/>
          <w:kern w:val="0"/>
          <w:sz w:val="30"/>
          <w:szCs w:val="30"/>
        </w:rPr>
        <w:t>我局按照实际情况，通过实行优化再造行政审批流程及标准化建设，进一步梳理、更新、完善在蕉岭县网上办事大厅发布的行政审批事项，成效明显。</w:t>
      </w:r>
      <w:r>
        <w:rPr>
          <w:rFonts w:hint="eastAsia" w:ascii="仿宋" w:hAnsi="仿宋" w:eastAsia="仿宋" w:cs="仿宋_GB2312"/>
          <w:b/>
          <w:kern w:val="0"/>
          <w:sz w:val="30"/>
          <w:szCs w:val="30"/>
        </w:rPr>
        <w:t>一是</w:t>
      </w:r>
      <w:r>
        <w:rPr>
          <w:rFonts w:hint="eastAsia" w:ascii="仿宋" w:hAnsi="仿宋" w:eastAsia="仿宋" w:cs="仿宋_GB2312"/>
          <w:kern w:val="0"/>
          <w:sz w:val="30"/>
          <w:szCs w:val="30"/>
        </w:rPr>
        <w:t>更新表格资料。对申请表格和提交材料规范文书资料进行了相应更新。为更好地服务群众，方便群众办事，我局将网上办事大厅中相应审批事项的表格文书资料一并进行了更新，与上级官方网站发布的表格文书资料保持一致，得到行政相对人的充分认可和肯定。</w:t>
      </w:r>
      <w:r>
        <w:rPr>
          <w:rFonts w:hint="eastAsia" w:ascii="仿宋" w:hAnsi="仿宋" w:eastAsia="仿宋" w:cs="仿宋_GB2312"/>
          <w:b/>
          <w:kern w:val="0"/>
          <w:sz w:val="30"/>
          <w:szCs w:val="30"/>
        </w:rPr>
        <w:t>二是</w:t>
      </w:r>
      <w:r>
        <w:rPr>
          <w:rFonts w:hint="eastAsia" w:ascii="仿宋" w:hAnsi="仿宋" w:eastAsia="仿宋" w:cs="仿宋_GB2312"/>
          <w:kern w:val="0"/>
          <w:sz w:val="30"/>
          <w:szCs w:val="30"/>
        </w:rPr>
        <w:t>通过对行政审批实施的有效监督管理，促使我局办事效率提高，便民利民效果明显，</w:t>
      </w:r>
      <w:bookmarkStart w:id="0" w:name="_GoBack"/>
      <w:bookmarkEnd w:id="0"/>
      <w:r>
        <w:rPr>
          <w:rFonts w:hint="eastAsia" w:ascii="仿宋" w:hAnsi="仿宋" w:eastAsia="仿宋" w:cs="仿宋_GB2312"/>
          <w:kern w:val="0"/>
          <w:sz w:val="30"/>
          <w:szCs w:val="30"/>
        </w:rPr>
        <w:t>2017年我局无发现一例违法行政审批行为，各项行政审批基本实现制度化、规范化、标准化、程序化、公开化、便民化、高效化、精细化，受到办事群众和企业的一致好评。</w:t>
      </w:r>
    </w:p>
    <w:p>
      <w:pPr>
        <w:widowControl/>
        <w:spacing w:line="360" w:lineRule="auto"/>
        <w:ind w:firstLine="584" w:firstLineChars="200"/>
        <w:jc w:val="left"/>
        <w:rPr>
          <w:rFonts w:ascii="仿宋" w:hAnsi="仿宋" w:eastAsia="仿宋" w:cs="宋体"/>
          <w:b/>
          <w:bCs/>
          <w:kern w:val="0"/>
          <w:sz w:val="30"/>
          <w:szCs w:val="30"/>
        </w:rPr>
      </w:pPr>
      <w:r>
        <w:rPr>
          <w:rFonts w:hint="eastAsia" w:ascii="仿宋" w:hAnsi="仿宋" w:eastAsia="仿宋" w:cs="宋体"/>
          <w:b/>
          <w:bCs/>
          <w:kern w:val="0"/>
          <w:sz w:val="30"/>
          <w:szCs w:val="30"/>
        </w:rPr>
        <w:t>二、存在问题和困难</w:t>
      </w:r>
    </w:p>
    <w:p>
      <w:pPr>
        <w:widowControl/>
        <w:spacing w:line="360" w:lineRule="auto"/>
        <w:ind w:firstLine="584" w:firstLineChars="200"/>
        <w:jc w:val="left"/>
        <w:rPr>
          <w:rFonts w:ascii="仿宋" w:hAnsi="仿宋" w:eastAsia="仿宋" w:cs="宋体"/>
          <w:kern w:val="0"/>
          <w:sz w:val="30"/>
          <w:szCs w:val="30"/>
        </w:rPr>
      </w:pPr>
      <w:r>
        <w:rPr>
          <w:rFonts w:hint="eastAsia" w:ascii="仿宋" w:hAnsi="仿宋" w:eastAsia="仿宋" w:cs="宋体"/>
          <w:kern w:val="0"/>
          <w:sz w:val="30"/>
          <w:szCs w:val="30"/>
        </w:rPr>
        <w:t>在实施行政许可审批过程中，主要遇到的困难和问题主要集中体现在以下方面：</w:t>
      </w:r>
    </w:p>
    <w:p>
      <w:pPr>
        <w:widowControl/>
        <w:spacing w:line="360" w:lineRule="auto"/>
        <w:ind w:firstLine="584" w:firstLineChars="200"/>
        <w:jc w:val="left"/>
        <w:rPr>
          <w:rFonts w:ascii="仿宋" w:hAnsi="仿宋" w:eastAsia="仿宋" w:cs="宋体"/>
          <w:kern w:val="0"/>
          <w:sz w:val="30"/>
          <w:szCs w:val="30"/>
        </w:rPr>
      </w:pPr>
      <w:r>
        <w:rPr>
          <w:rFonts w:hint="eastAsia" w:ascii="仿宋" w:hAnsi="仿宋" w:eastAsia="仿宋" w:cs="宋体"/>
          <w:kern w:val="0"/>
          <w:sz w:val="30"/>
          <w:szCs w:val="30"/>
        </w:rPr>
        <w:t>（一）行政许可审批时间压缩要求与改革后业务量爆发之间的矛盾。在公众要求行政单位压缩行政许可审批时间的趋势下，上级部门不断要求部门压缩审批时间，将本来已经压缩至20个工作日的审批时间进一步再缩短，但同时，改革之后办理业务量不断增加，目前业务受理流程及材料审查要求较为严格，所花费的审批时间较多，在人手不变的情况下难以进一步再压缩审批时间。</w:t>
      </w:r>
    </w:p>
    <w:p>
      <w:pPr>
        <w:widowControl/>
        <w:spacing w:line="360" w:lineRule="auto"/>
        <w:ind w:firstLine="584" w:firstLineChars="200"/>
        <w:jc w:val="left"/>
        <w:rPr>
          <w:rFonts w:ascii="仿宋" w:hAnsi="仿宋" w:eastAsia="仿宋" w:cs="宋体"/>
          <w:kern w:val="0"/>
          <w:sz w:val="30"/>
          <w:szCs w:val="30"/>
        </w:rPr>
      </w:pPr>
      <w:r>
        <w:rPr>
          <w:rFonts w:hint="eastAsia" w:ascii="仿宋" w:hAnsi="仿宋" w:eastAsia="仿宋" w:cs="宋体"/>
          <w:kern w:val="0"/>
          <w:sz w:val="30"/>
          <w:szCs w:val="30"/>
        </w:rPr>
        <w:t>（二）改革配套的监管机制有待完善。一些部门强调客观困难，在厘清部门监管职责，落实监管责任方面力度不足；对行政许可的后续监管没有形成良好的协作联动机制。</w:t>
      </w:r>
    </w:p>
    <w:p>
      <w:pPr>
        <w:widowControl/>
        <w:spacing w:line="360" w:lineRule="auto"/>
        <w:ind w:firstLine="584" w:firstLineChars="200"/>
        <w:jc w:val="left"/>
        <w:rPr>
          <w:rFonts w:ascii="仿宋" w:hAnsi="仿宋" w:eastAsia="仿宋" w:cs="宋体"/>
          <w:kern w:val="0"/>
          <w:sz w:val="30"/>
          <w:szCs w:val="30"/>
        </w:rPr>
      </w:pPr>
      <w:r>
        <w:rPr>
          <w:rFonts w:hint="eastAsia" w:ascii="仿宋" w:hAnsi="仿宋" w:eastAsia="仿宋" w:cs="宋体"/>
          <w:kern w:val="0"/>
          <w:sz w:val="30"/>
          <w:szCs w:val="30"/>
        </w:rPr>
        <w:t>（三）由于地处山区，群众文化水平较低，上网上办事大厅查询、申办业务的人较少，部分经办者未能完全掌握网上办事大厅的操作程序，以及群众普遍喜爱到窗口办事的习惯等原因，导致网上办事大厅的申办业务数量较少。</w:t>
      </w:r>
    </w:p>
    <w:p>
      <w:pPr>
        <w:widowControl/>
        <w:spacing w:line="360" w:lineRule="auto"/>
        <w:ind w:firstLine="584" w:firstLineChars="200"/>
        <w:jc w:val="left"/>
        <w:rPr>
          <w:rFonts w:ascii="仿宋" w:hAnsi="仿宋" w:eastAsia="仿宋" w:cs="宋体"/>
          <w:b/>
          <w:bCs/>
          <w:kern w:val="0"/>
          <w:sz w:val="30"/>
          <w:szCs w:val="30"/>
        </w:rPr>
      </w:pPr>
      <w:r>
        <w:rPr>
          <w:rFonts w:hint="eastAsia" w:ascii="仿宋" w:hAnsi="仿宋" w:eastAsia="仿宋" w:cs="宋体"/>
          <w:b/>
          <w:bCs/>
          <w:kern w:val="0"/>
          <w:sz w:val="30"/>
          <w:szCs w:val="30"/>
        </w:rPr>
        <w:t>三、下一步工作措施及有关建议</w:t>
      </w:r>
    </w:p>
    <w:p>
      <w:pPr>
        <w:widowControl/>
        <w:spacing w:line="360" w:lineRule="auto"/>
        <w:ind w:firstLine="645"/>
        <w:jc w:val="left"/>
        <w:rPr>
          <w:rFonts w:ascii="仿宋" w:hAnsi="仿宋" w:eastAsia="仿宋" w:cs="宋体"/>
          <w:kern w:val="0"/>
          <w:sz w:val="30"/>
          <w:szCs w:val="30"/>
        </w:rPr>
      </w:pPr>
      <w:r>
        <w:rPr>
          <w:rFonts w:hint="eastAsia" w:ascii="仿宋" w:hAnsi="仿宋" w:eastAsia="仿宋" w:cs="宋体"/>
          <w:b/>
          <w:kern w:val="0"/>
          <w:sz w:val="30"/>
          <w:szCs w:val="30"/>
        </w:rPr>
        <w:t>（一）加强制度保障。</w:t>
      </w:r>
      <w:r>
        <w:rPr>
          <w:rFonts w:hint="eastAsia" w:ascii="仿宋" w:hAnsi="仿宋" w:eastAsia="仿宋" w:cs="宋体"/>
          <w:kern w:val="0"/>
          <w:sz w:val="30"/>
          <w:szCs w:val="30"/>
        </w:rPr>
        <w:t>一是制定具有可操作性的配套政策、实施方案、业务流程等，保障各项改革措施落实到位，改革工作有序推进。二是建立健全并严格执行首问责任制、一次性告知、限时办结等服务承诺制度，有效落实效能考评制度和行政过错责任追究制度，确保政令畅通，各项改革试点工作顺利推进。</w:t>
      </w:r>
    </w:p>
    <w:p>
      <w:pPr>
        <w:widowControl/>
        <w:spacing w:line="360" w:lineRule="auto"/>
        <w:jc w:val="left"/>
        <w:rPr>
          <w:rFonts w:ascii="仿宋" w:hAnsi="仿宋" w:eastAsia="仿宋" w:cs="宋体"/>
          <w:kern w:val="0"/>
          <w:sz w:val="30"/>
          <w:szCs w:val="30"/>
        </w:rPr>
      </w:pPr>
      <w:r>
        <w:rPr>
          <w:rFonts w:hint="eastAsia" w:ascii="仿宋" w:hAnsi="仿宋" w:eastAsia="仿宋" w:cs="宋体"/>
          <w:b/>
          <w:kern w:val="0"/>
          <w:sz w:val="30"/>
          <w:szCs w:val="30"/>
        </w:rPr>
        <w:t xml:space="preserve">    （二）加强监督保障。</w:t>
      </w:r>
      <w:r>
        <w:rPr>
          <w:rFonts w:hint="eastAsia" w:ascii="仿宋" w:hAnsi="仿宋" w:eastAsia="仿宋" w:cs="宋体"/>
          <w:kern w:val="0"/>
          <w:sz w:val="30"/>
          <w:szCs w:val="30"/>
        </w:rPr>
        <w:t>通过政府的行政审批电子监察平台，配合市网建办、市监察局进行实时在线监察与督查督办，调查处理有关行政审批方面的投诉。</w:t>
      </w:r>
    </w:p>
    <w:p>
      <w:pPr>
        <w:widowControl/>
        <w:spacing w:line="360" w:lineRule="auto"/>
        <w:ind w:firstLine="584" w:firstLineChars="200"/>
        <w:jc w:val="left"/>
        <w:rPr>
          <w:rFonts w:ascii="仿宋" w:hAnsi="仿宋" w:eastAsia="仿宋" w:cs="宋体"/>
          <w:kern w:val="0"/>
          <w:sz w:val="30"/>
          <w:szCs w:val="30"/>
        </w:rPr>
      </w:pPr>
      <w:r>
        <w:rPr>
          <w:rFonts w:hint="eastAsia" w:ascii="仿宋" w:hAnsi="仿宋" w:eastAsia="仿宋" w:cs="宋体"/>
          <w:b/>
          <w:kern w:val="0"/>
          <w:sz w:val="30"/>
          <w:szCs w:val="30"/>
        </w:rPr>
        <w:t>（三）加强协调联动。</w:t>
      </w:r>
      <w:r>
        <w:rPr>
          <w:rFonts w:hint="eastAsia" w:ascii="仿宋" w:hAnsi="仿宋" w:eastAsia="仿宋" w:cs="宋体"/>
          <w:kern w:val="0"/>
          <w:sz w:val="30"/>
          <w:szCs w:val="30"/>
        </w:rPr>
        <w:t>将紧密围绕上级行政许可审批工作的有关部署，结合部门实际，加强部门间的联系，及时发现改革进程中的存在问题，相互协调解决，更好地为群众服务。</w:t>
      </w:r>
    </w:p>
    <w:p>
      <w:pPr>
        <w:widowControl/>
        <w:shd w:val="clear" w:color="auto" w:fill="FFFFFF"/>
        <w:wordWrap w:val="0"/>
        <w:spacing w:before="100" w:beforeAutospacing="1" w:after="100" w:afterAutospacing="1" w:line="600" w:lineRule="atLeast"/>
        <w:ind w:firstLine="420"/>
        <w:rPr>
          <w:rFonts w:ascii="仿宋" w:hAnsi="仿宋" w:eastAsia="仿宋" w:cs="宋体"/>
          <w:color w:val="000000"/>
          <w:kern w:val="0"/>
          <w:sz w:val="30"/>
          <w:szCs w:val="30"/>
        </w:rPr>
      </w:pPr>
    </w:p>
    <w:p>
      <w:pPr>
        <w:rPr>
          <w:rFonts w:ascii="仿宋" w:hAnsi="仿宋" w:eastAsia="仿宋"/>
          <w:sz w:val="30"/>
          <w:szCs w:val="30"/>
        </w:rPr>
      </w:pPr>
    </w:p>
    <w:sectPr>
      <w:footerReference r:id="rId3" w:type="default"/>
      <w:footerReference r:id="rId4" w:type="even"/>
      <w:pgSz w:w="11906" w:h="16838"/>
      <w:pgMar w:top="2098" w:right="1588" w:bottom="1304" w:left="1588" w:header="851" w:footer="1304" w:gutter="0"/>
      <w:cols w:space="425" w:num="1"/>
      <w:docGrid w:type="linesAndChars" w:linePitch="61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2"/>
      </w:rPr>
    </w:pPr>
    <w:r>
      <w:rPr>
        <w:rStyle w:val="5"/>
        <w:rFonts w:hint="eastAsia"/>
        <w:sz w:val="32"/>
      </w:rPr>
      <w:t>-</w:t>
    </w:r>
    <w:r>
      <w:rPr>
        <w:rStyle w:val="5"/>
        <w:sz w:val="32"/>
      </w:rPr>
      <w:fldChar w:fldCharType="begin"/>
    </w:r>
    <w:r>
      <w:rPr>
        <w:rStyle w:val="5"/>
        <w:sz w:val="32"/>
      </w:rPr>
      <w:instrText xml:space="preserve">PAGE  </w:instrText>
    </w:r>
    <w:r>
      <w:rPr>
        <w:rStyle w:val="5"/>
        <w:sz w:val="32"/>
      </w:rPr>
      <w:fldChar w:fldCharType="separate"/>
    </w:r>
    <w:r>
      <w:rPr>
        <w:rStyle w:val="5"/>
        <w:sz w:val="32"/>
      </w:rPr>
      <w:t>2</w:t>
    </w:r>
    <w:r>
      <w:rPr>
        <w:rStyle w:val="5"/>
        <w:sz w:val="32"/>
      </w:rPr>
      <w:fldChar w:fldCharType="end"/>
    </w:r>
    <w:r>
      <w:rPr>
        <w:rStyle w:val="5"/>
        <w:rFonts w:hint="eastAsia"/>
        <w:sz w:val="32"/>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56"/>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5540"/>
    <w:rsid w:val="0001362F"/>
    <w:rsid w:val="0001410A"/>
    <w:rsid w:val="0001494F"/>
    <w:rsid w:val="00046E99"/>
    <w:rsid w:val="000677D2"/>
    <w:rsid w:val="000822C8"/>
    <w:rsid w:val="000A39BE"/>
    <w:rsid w:val="000D5ED0"/>
    <w:rsid w:val="000D7DB3"/>
    <w:rsid w:val="0012156E"/>
    <w:rsid w:val="00124345"/>
    <w:rsid w:val="00125EE6"/>
    <w:rsid w:val="0012676C"/>
    <w:rsid w:val="00126A3F"/>
    <w:rsid w:val="00153DCE"/>
    <w:rsid w:val="0017479E"/>
    <w:rsid w:val="001B63E4"/>
    <w:rsid w:val="001C078C"/>
    <w:rsid w:val="001C2D66"/>
    <w:rsid w:val="001C6F5E"/>
    <w:rsid w:val="001E0C6A"/>
    <w:rsid w:val="00213D8A"/>
    <w:rsid w:val="00216F13"/>
    <w:rsid w:val="00222435"/>
    <w:rsid w:val="00230CD4"/>
    <w:rsid w:val="00233E99"/>
    <w:rsid w:val="00263401"/>
    <w:rsid w:val="00272056"/>
    <w:rsid w:val="002B1789"/>
    <w:rsid w:val="002C5838"/>
    <w:rsid w:val="002E1180"/>
    <w:rsid w:val="002E58AF"/>
    <w:rsid w:val="002F5E66"/>
    <w:rsid w:val="003052C9"/>
    <w:rsid w:val="0030667C"/>
    <w:rsid w:val="003112D5"/>
    <w:rsid w:val="003304D5"/>
    <w:rsid w:val="00346E6F"/>
    <w:rsid w:val="003545A6"/>
    <w:rsid w:val="0037318B"/>
    <w:rsid w:val="00391CC8"/>
    <w:rsid w:val="003958E9"/>
    <w:rsid w:val="003C2654"/>
    <w:rsid w:val="003C31F3"/>
    <w:rsid w:val="00416719"/>
    <w:rsid w:val="00432EEF"/>
    <w:rsid w:val="00433E67"/>
    <w:rsid w:val="00473BE9"/>
    <w:rsid w:val="004B3041"/>
    <w:rsid w:val="004C16AD"/>
    <w:rsid w:val="004D3B99"/>
    <w:rsid w:val="004F5068"/>
    <w:rsid w:val="005253CA"/>
    <w:rsid w:val="00550185"/>
    <w:rsid w:val="00550606"/>
    <w:rsid w:val="0055173D"/>
    <w:rsid w:val="005971BC"/>
    <w:rsid w:val="005F4D19"/>
    <w:rsid w:val="00615A31"/>
    <w:rsid w:val="00650A28"/>
    <w:rsid w:val="00672688"/>
    <w:rsid w:val="00684323"/>
    <w:rsid w:val="006C51E4"/>
    <w:rsid w:val="006D4296"/>
    <w:rsid w:val="00703F81"/>
    <w:rsid w:val="007043D8"/>
    <w:rsid w:val="00712022"/>
    <w:rsid w:val="00716893"/>
    <w:rsid w:val="00745E4C"/>
    <w:rsid w:val="0076005F"/>
    <w:rsid w:val="00805540"/>
    <w:rsid w:val="0084019C"/>
    <w:rsid w:val="00871C27"/>
    <w:rsid w:val="00872CEB"/>
    <w:rsid w:val="008A10EA"/>
    <w:rsid w:val="008B4A39"/>
    <w:rsid w:val="008D3538"/>
    <w:rsid w:val="008E3C7A"/>
    <w:rsid w:val="008F4354"/>
    <w:rsid w:val="009243E2"/>
    <w:rsid w:val="00963BE4"/>
    <w:rsid w:val="009818F5"/>
    <w:rsid w:val="009927C9"/>
    <w:rsid w:val="0099745D"/>
    <w:rsid w:val="009A29D8"/>
    <w:rsid w:val="009B75D5"/>
    <w:rsid w:val="009C5E47"/>
    <w:rsid w:val="009E31C6"/>
    <w:rsid w:val="009F2FF7"/>
    <w:rsid w:val="00A34EE8"/>
    <w:rsid w:val="00A37AA7"/>
    <w:rsid w:val="00A42C7B"/>
    <w:rsid w:val="00A6657A"/>
    <w:rsid w:val="00A73874"/>
    <w:rsid w:val="00A84054"/>
    <w:rsid w:val="00AD765E"/>
    <w:rsid w:val="00B051EC"/>
    <w:rsid w:val="00B10714"/>
    <w:rsid w:val="00B32C1D"/>
    <w:rsid w:val="00B830AA"/>
    <w:rsid w:val="00BA4193"/>
    <w:rsid w:val="00C81168"/>
    <w:rsid w:val="00C95AFF"/>
    <w:rsid w:val="00CE68A6"/>
    <w:rsid w:val="00CF19A9"/>
    <w:rsid w:val="00CF584D"/>
    <w:rsid w:val="00D70ABF"/>
    <w:rsid w:val="00D94347"/>
    <w:rsid w:val="00E0230E"/>
    <w:rsid w:val="00E24BDC"/>
    <w:rsid w:val="00E63BAA"/>
    <w:rsid w:val="00E7463A"/>
    <w:rsid w:val="00E7719E"/>
    <w:rsid w:val="00EA6D55"/>
    <w:rsid w:val="00EC01EC"/>
    <w:rsid w:val="00ED0654"/>
    <w:rsid w:val="00EE7366"/>
    <w:rsid w:val="00EF6A0A"/>
    <w:rsid w:val="00F077EE"/>
    <w:rsid w:val="00F127D9"/>
    <w:rsid w:val="00F573B6"/>
    <w:rsid w:val="00F8732F"/>
    <w:rsid w:val="00FB7D8F"/>
    <w:rsid w:val="00FD5E22"/>
    <w:rsid w:val="5F47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A4模板</Template>
  <Company>Lenovo (Beijing) Limited</Company>
  <Pages>7</Pages>
  <Words>2936</Words>
  <Characters>72</Characters>
  <Lines>1</Lines>
  <Paragraphs>6</Paragraphs>
  <TotalTime>0</TotalTime>
  <ScaleCrop>false</ScaleCrop>
  <LinksUpToDate>false</LinksUpToDate>
  <CharactersWithSpaces>3002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2018-03-14T06:57:00Z</dcterms:created>
  <dc:creator>微软用户</dc:creator>
  <cp:lastModifiedBy>Kevin-lin</cp:lastModifiedBy>
  <cp:lastPrinted>2016-03-31T09:10:00Z</cp:lastPrinted>
  <dcterms:modified xsi:type="dcterms:W3CDTF">2018-03-15T01:24:45Z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